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7BE48">
      <w:pPr>
        <w:pStyle w:val="26"/>
        <w:widowControl/>
        <w:spacing w:before="75" w:beforeAutospacing="0" w:after="75" w:afterAutospacing="0"/>
        <w:jc w:val="center"/>
        <w:rPr>
          <w:rStyle w:val="34"/>
          <w:rFonts w:hint="eastAsia" w:asciiTheme="minorEastAsia" w:hAnsiTheme="minorEastAsia" w:eastAsiaTheme="minorEastAsia" w:cstheme="minorEastAsia"/>
          <w:color w:val="auto"/>
          <w:sz w:val="72"/>
          <w:szCs w:val="72"/>
          <w:lang w:eastAsia="zh-CN"/>
        </w:rPr>
      </w:pPr>
    </w:p>
    <w:p w14:paraId="3238D611">
      <w:pPr>
        <w:pStyle w:val="26"/>
        <w:widowControl/>
        <w:spacing w:before="75" w:beforeAutospacing="0" w:after="75" w:afterAutospacing="0"/>
        <w:jc w:val="center"/>
        <w:outlineLvl w:val="0"/>
        <w:rPr>
          <w:rStyle w:val="34"/>
          <w:rFonts w:hint="eastAsia" w:ascii="宋体" w:hAnsi="宋体" w:eastAsia="宋体" w:cs="宋体"/>
          <w:color w:val="auto"/>
          <w:sz w:val="72"/>
          <w:szCs w:val="72"/>
        </w:rPr>
      </w:pPr>
      <w:bookmarkStart w:id="0" w:name="_Toc3204"/>
      <w:bookmarkStart w:id="1" w:name="_Toc29909"/>
      <w:bookmarkStart w:id="2" w:name="_Toc6211"/>
      <w:r>
        <w:rPr>
          <w:rStyle w:val="34"/>
          <w:rFonts w:hint="eastAsia" w:ascii="宋体" w:hAnsi="宋体" w:eastAsia="宋体" w:cs="宋体"/>
          <w:color w:val="auto"/>
          <w:sz w:val="72"/>
          <w:szCs w:val="72"/>
        </w:rPr>
        <w:t>竞争性磋商文件</w:t>
      </w:r>
      <w:bookmarkEnd w:id="0"/>
      <w:bookmarkEnd w:id="1"/>
      <w:bookmarkEnd w:id="2"/>
    </w:p>
    <w:p w14:paraId="0508A13B">
      <w:pPr>
        <w:pStyle w:val="26"/>
        <w:widowControl/>
        <w:spacing w:before="75" w:beforeAutospacing="0" w:after="75" w:afterAutospacing="0"/>
        <w:jc w:val="center"/>
        <w:outlineLvl w:val="0"/>
        <w:rPr>
          <w:rStyle w:val="34"/>
          <w:rFonts w:hint="eastAsia" w:ascii="宋体" w:hAnsi="宋体" w:eastAsia="宋体" w:cs="宋体"/>
          <w:color w:val="auto"/>
          <w:sz w:val="40"/>
          <w:szCs w:val="40"/>
          <w:lang w:eastAsia="zh-CN"/>
        </w:rPr>
      </w:pPr>
      <w:r>
        <w:rPr>
          <w:rStyle w:val="34"/>
          <w:rFonts w:hint="eastAsia" w:ascii="宋体" w:hAnsi="宋体" w:eastAsia="宋体" w:cs="宋体"/>
          <w:color w:val="auto"/>
          <w:sz w:val="40"/>
          <w:szCs w:val="40"/>
          <w:lang w:eastAsia="zh-CN"/>
        </w:rPr>
        <w:t>（</w:t>
      </w:r>
      <w:r>
        <w:rPr>
          <w:rStyle w:val="34"/>
          <w:rFonts w:hint="eastAsia" w:ascii="宋体" w:hAnsi="宋体" w:eastAsia="宋体" w:cs="宋体"/>
          <w:color w:val="auto"/>
          <w:sz w:val="40"/>
          <w:szCs w:val="40"/>
          <w:lang w:val="en-US" w:eastAsia="zh-CN"/>
        </w:rPr>
        <w:t>预公告版本</w:t>
      </w:r>
      <w:r>
        <w:rPr>
          <w:rStyle w:val="34"/>
          <w:rFonts w:hint="eastAsia" w:ascii="宋体" w:hAnsi="宋体" w:eastAsia="宋体" w:cs="宋体"/>
          <w:color w:val="auto"/>
          <w:sz w:val="40"/>
          <w:szCs w:val="40"/>
          <w:lang w:eastAsia="zh-CN"/>
        </w:rPr>
        <w:t>）</w:t>
      </w:r>
    </w:p>
    <w:p w14:paraId="6A707CD9">
      <w:pPr>
        <w:pStyle w:val="26"/>
        <w:widowControl/>
        <w:spacing w:before="75" w:beforeAutospacing="0" w:after="75" w:afterAutospacing="0"/>
        <w:jc w:val="center"/>
        <w:rPr>
          <w:rFonts w:hint="eastAsia" w:asciiTheme="minorEastAsia" w:hAnsiTheme="minorEastAsia" w:cstheme="minorEastAsia"/>
          <w:color w:val="auto"/>
        </w:rPr>
      </w:pPr>
      <w:r>
        <w:rPr>
          <w:rFonts w:hint="eastAsia" w:asciiTheme="minorEastAsia" w:hAnsiTheme="minorEastAsia" w:cstheme="minorEastAsia"/>
          <w:color w:val="auto"/>
        </w:rPr>
        <w:t> </w:t>
      </w:r>
    </w:p>
    <w:p w14:paraId="5C0B2FC7">
      <w:pPr>
        <w:pStyle w:val="26"/>
        <w:widowControl/>
        <w:spacing w:before="75" w:beforeAutospacing="0" w:after="75" w:afterAutospacing="0"/>
        <w:rPr>
          <w:rStyle w:val="34"/>
          <w:rFonts w:hint="eastAsia" w:asciiTheme="minorEastAsia" w:hAnsiTheme="minorEastAsia" w:cstheme="minorEastAsia"/>
          <w:color w:val="auto"/>
          <w:sz w:val="72"/>
          <w:szCs w:val="72"/>
        </w:rPr>
      </w:pPr>
      <w:r>
        <w:rPr>
          <w:rStyle w:val="34"/>
          <w:rFonts w:hint="eastAsia" w:asciiTheme="minorEastAsia" w:hAnsiTheme="minorEastAsia" w:cstheme="minorEastAsia"/>
          <w:color w:val="auto"/>
          <w:sz w:val="72"/>
          <w:szCs w:val="72"/>
        </w:rPr>
        <w:t> </w:t>
      </w:r>
    </w:p>
    <w:p w14:paraId="60707FC7">
      <w:pPr>
        <w:pStyle w:val="26"/>
        <w:widowControl/>
        <w:spacing w:before="75" w:beforeAutospacing="0" w:after="75" w:afterAutospacing="0"/>
        <w:rPr>
          <w:rStyle w:val="34"/>
          <w:rFonts w:hint="eastAsia" w:asciiTheme="minorEastAsia" w:hAnsiTheme="minorEastAsia" w:cstheme="minorEastAsia"/>
          <w:color w:val="auto"/>
          <w:sz w:val="72"/>
          <w:szCs w:val="72"/>
        </w:rPr>
      </w:pPr>
    </w:p>
    <w:p w14:paraId="04ECF661">
      <w:pPr>
        <w:pStyle w:val="26"/>
        <w:widowControl/>
        <w:spacing w:before="75" w:beforeAutospacing="0" w:after="75" w:afterAutospacing="0"/>
        <w:rPr>
          <w:rStyle w:val="34"/>
          <w:rFonts w:hint="eastAsia" w:asciiTheme="minorEastAsia" w:hAnsiTheme="minorEastAsia" w:cstheme="minorEastAsia"/>
          <w:color w:val="auto"/>
          <w:sz w:val="72"/>
          <w:szCs w:val="72"/>
        </w:rPr>
      </w:pPr>
    </w:p>
    <w:p w14:paraId="70F746B5">
      <w:pPr>
        <w:pStyle w:val="26"/>
        <w:widowControl/>
        <w:spacing w:before="75" w:beforeAutospacing="0" w:after="75" w:afterAutospacing="0"/>
        <w:rPr>
          <w:rStyle w:val="34"/>
          <w:rFonts w:hint="eastAsia" w:asciiTheme="minorEastAsia" w:hAnsiTheme="minorEastAsia" w:cstheme="minorEastAsia"/>
          <w:color w:val="auto"/>
          <w:sz w:val="72"/>
          <w:szCs w:val="72"/>
        </w:rPr>
      </w:pPr>
    </w:p>
    <w:p w14:paraId="13347C8A">
      <w:pPr>
        <w:pStyle w:val="26"/>
        <w:widowControl/>
        <w:spacing w:before="75" w:beforeAutospacing="0" w:after="75" w:afterAutospacing="0"/>
        <w:jc w:val="center"/>
        <w:rPr>
          <w:rStyle w:val="34"/>
          <w:rFonts w:hint="eastAsia" w:asciiTheme="minorEastAsia" w:hAnsiTheme="minorEastAsia" w:eastAsiaTheme="minorEastAsia" w:cstheme="minorEastAsia"/>
          <w:color w:val="auto"/>
          <w:sz w:val="32"/>
          <w:szCs w:val="32"/>
          <w:lang w:eastAsia="zh-CN"/>
        </w:rPr>
      </w:pPr>
      <w:r>
        <w:rPr>
          <w:rStyle w:val="34"/>
          <w:rFonts w:hint="eastAsia" w:asciiTheme="minorEastAsia" w:hAnsiTheme="minorEastAsia" w:cstheme="minorEastAsia"/>
          <w:color w:val="auto"/>
          <w:sz w:val="32"/>
          <w:szCs w:val="32"/>
        </w:rPr>
        <w:t>项目名称：</w:t>
      </w:r>
      <w:r>
        <w:rPr>
          <w:rStyle w:val="34"/>
          <w:rFonts w:hint="eastAsia" w:asciiTheme="minorEastAsia" w:hAnsiTheme="minorEastAsia" w:cstheme="minorEastAsia"/>
          <w:color w:val="auto"/>
          <w:sz w:val="32"/>
          <w:szCs w:val="32"/>
          <w:lang w:eastAsia="zh-CN"/>
        </w:rPr>
        <w:t>2026至2027年度小规模工程施工单位采购项目</w:t>
      </w:r>
    </w:p>
    <w:p w14:paraId="2FFBAC50">
      <w:pPr>
        <w:pStyle w:val="19"/>
        <w:spacing w:line="360" w:lineRule="auto"/>
        <w:jc w:val="center"/>
        <w:outlineLvl w:val="0"/>
        <w:rPr>
          <w:rFonts w:hint="eastAsia" w:hAnsi="宋体" w:eastAsiaTheme="minorEastAsia"/>
          <w:b/>
          <w:bCs/>
          <w:color w:val="auto"/>
          <w:sz w:val="32"/>
          <w:u w:val="single"/>
          <w:lang w:eastAsia="zh-CN"/>
        </w:rPr>
      </w:pPr>
      <w:bookmarkStart w:id="3" w:name="_Toc17633"/>
      <w:bookmarkStart w:id="4" w:name="_Toc8029"/>
      <w:bookmarkStart w:id="5" w:name="_Toc11609"/>
      <w:r>
        <w:rPr>
          <w:rFonts w:hint="eastAsia" w:hAnsi="宋体"/>
          <w:b/>
          <w:bCs/>
          <w:color w:val="auto"/>
          <w:sz w:val="32"/>
        </w:rPr>
        <w:t>项目编号：</w:t>
      </w:r>
      <w:bookmarkEnd w:id="3"/>
      <w:bookmarkEnd w:id="4"/>
      <w:r>
        <w:rPr>
          <w:rFonts w:hint="eastAsia" w:hAnsi="宋体"/>
          <w:b/>
          <w:bCs/>
          <w:color w:val="auto"/>
          <w:sz w:val="32"/>
          <w:lang w:eastAsia="zh-CN"/>
        </w:rPr>
        <w:t>FJLQ20260051</w:t>
      </w:r>
      <w:bookmarkEnd w:id="5"/>
    </w:p>
    <w:p w14:paraId="71BEB66F">
      <w:pPr>
        <w:pStyle w:val="26"/>
        <w:widowControl/>
        <w:spacing w:before="75" w:beforeAutospacing="0" w:after="75" w:afterAutospacing="0"/>
        <w:jc w:val="center"/>
        <w:outlineLvl w:val="0"/>
        <w:rPr>
          <w:rFonts w:hint="eastAsia" w:asciiTheme="minorEastAsia" w:hAnsiTheme="minorEastAsia" w:eastAsiaTheme="minorEastAsia" w:cstheme="minorEastAsia"/>
          <w:b/>
          <w:bCs/>
          <w:color w:val="auto"/>
          <w:sz w:val="32"/>
          <w:szCs w:val="32"/>
          <w:lang w:eastAsia="zh-CN"/>
        </w:rPr>
      </w:pPr>
      <w:bookmarkStart w:id="6" w:name="_Toc25424"/>
      <w:bookmarkStart w:id="7" w:name="_Toc2153"/>
      <w:bookmarkStart w:id="8" w:name="_Toc13801"/>
      <w:r>
        <w:rPr>
          <w:rFonts w:hint="eastAsia" w:asciiTheme="minorEastAsia" w:hAnsiTheme="minorEastAsia" w:cstheme="minorEastAsia"/>
          <w:b/>
          <w:bCs/>
          <w:color w:val="auto"/>
          <w:sz w:val="32"/>
          <w:szCs w:val="32"/>
        </w:rPr>
        <w:t>采 购 人：</w:t>
      </w:r>
      <w:bookmarkEnd w:id="6"/>
      <w:bookmarkEnd w:id="7"/>
      <w:r>
        <w:rPr>
          <w:rStyle w:val="34"/>
          <w:rFonts w:hint="eastAsia" w:asciiTheme="minorEastAsia" w:hAnsiTheme="minorEastAsia" w:cstheme="minorEastAsia"/>
          <w:color w:val="auto"/>
          <w:sz w:val="32"/>
          <w:szCs w:val="32"/>
          <w:lang w:eastAsia="zh-CN"/>
        </w:rPr>
        <w:t>福建省楚源服饰有限责任公司</w:t>
      </w:r>
      <w:bookmarkEnd w:id="8"/>
    </w:p>
    <w:p w14:paraId="160DB681">
      <w:pPr>
        <w:pStyle w:val="26"/>
        <w:widowControl/>
        <w:spacing w:before="75" w:beforeAutospacing="0" w:after="75" w:afterAutospacing="0"/>
        <w:ind w:firstLine="2249" w:firstLineChars="700"/>
        <w:jc w:val="both"/>
        <w:rPr>
          <w:rFonts w:hint="eastAsia" w:asciiTheme="minorEastAsia" w:hAnsiTheme="minorEastAsia" w:cstheme="minorEastAsia"/>
          <w:b/>
          <w:bCs/>
          <w:color w:val="auto"/>
          <w:sz w:val="32"/>
          <w:szCs w:val="32"/>
        </w:rPr>
      </w:pPr>
    </w:p>
    <w:p w14:paraId="3AAE4833">
      <w:pPr>
        <w:pStyle w:val="26"/>
        <w:widowControl/>
        <w:spacing w:before="75" w:beforeAutospacing="0" w:after="75" w:afterAutospacing="0"/>
        <w:ind w:firstLine="2249" w:firstLineChars="700"/>
        <w:jc w:val="both"/>
        <w:rPr>
          <w:rFonts w:hint="eastAsia" w:asciiTheme="minorEastAsia" w:hAnsiTheme="minorEastAsia" w:cstheme="minorEastAsia"/>
          <w:b/>
          <w:bCs/>
          <w:color w:val="auto"/>
          <w:sz w:val="32"/>
          <w:szCs w:val="32"/>
        </w:rPr>
      </w:pPr>
    </w:p>
    <w:p w14:paraId="0160253F">
      <w:pPr>
        <w:pStyle w:val="26"/>
        <w:widowControl/>
        <w:spacing w:before="75" w:beforeAutospacing="0" w:after="75" w:afterAutospacing="0"/>
        <w:ind w:firstLine="2249" w:firstLineChars="700"/>
        <w:jc w:val="both"/>
        <w:rPr>
          <w:rFonts w:hint="eastAsia" w:asciiTheme="minorEastAsia" w:hAnsiTheme="minorEastAsia" w:cstheme="minorEastAsia"/>
          <w:b/>
          <w:bCs/>
          <w:color w:val="auto"/>
          <w:sz w:val="32"/>
          <w:szCs w:val="32"/>
        </w:rPr>
      </w:pPr>
    </w:p>
    <w:p w14:paraId="339F68A7">
      <w:pPr>
        <w:pStyle w:val="26"/>
        <w:widowControl/>
        <w:spacing w:before="75" w:beforeAutospacing="0" w:after="75" w:afterAutospacing="0"/>
        <w:ind w:firstLine="2249" w:firstLineChars="700"/>
        <w:jc w:val="both"/>
        <w:rPr>
          <w:rFonts w:hint="eastAsia" w:asciiTheme="minorEastAsia" w:hAnsiTheme="minorEastAsia" w:cstheme="minorEastAsia"/>
          <w:b/>
          <w:bCs/>
          <w:color w:val="auto"/>
          <w:sz w:val="32"/>
          <w:szCs w:val="32"/>
        </w:rPr>
      </w:pPr>
    </w:p>
    <w:p w14:paraId="0FCA563A">
      <w:pPr>
        <w:pStyle w:val="26"/>
        <w:widowControl/>
        <w:spacing w:before="75" w:beforeAutospacing="0" w:after="75" w:afterAutospacing="0"/>
        <w:ind w:firstLine="2249" w:firstLineChars="700"/>
        <w:jc w:val="both"/>
        <w:rPr>
          <w:rFonts w:hint="eastAsia" w:asciiTheme="minorEastAsia" w:hAnsiTheme="minorEastAsia" w:cstheme="minorEastAsia"/>
          <w:b/>
          <w:bCs/>
          <w:color w:val="auto"/>
          <w:sz w:val="32"/>
          <w:szCs w:val="32"/>
        </w:rPr>
      </w:pPr>
    </w:p>
    <w:p w14:paraId="35113C75">
      <w:pPr>
        <w:pStyle w:val="26"/>
        <w:widowControl/>
        <w:spacing w:before="75" w:beforeAutospacing="0" w:after="75" w:afterAutospacing="0"/>
        <w:jc w:val="center"/>
        <w:outlineLvl w:val="0"/>
        <w:rPr>
          <w:rStyle w:val="34"/>
          <w:rFonts w:hint="eastAsia" w:asciiTheme="minorEastAsia" w:hAnsiTheme="minorEastAsia" w:cstheme="minorEastAsia"/>
          <w:color w:val="auto"/>
          <w:sz w:val="32"/>
          <w:szCs w:val="32"/>
        </w:rPr>
      </w:pPr>
      <w:bookmarkStart w:id="9" w:name="_Toc1860"/>
      <w:bookmarkStart w:id="10" w:name="_Toc26301"/>
      <w:bookmarkStart w:id="11" w:name="_Toc18389"/>
      <w:r>
        <w:rPr>
          <w:rFonts w:hint="eastAsia" w:asciiTheme="minorEastAsia" w:hAnsiTheme="minorEastAsia" w:cstheme="minorEastAsia"/>
          <w:b/>
          <w:bCs/>
          <w:color w:val="auto"/>
          <w:sz w:val="32"/>
          <w:szCs w:val="32"/>
        </w:rPr>
        <w:t>代理机构：福建立勤项目管理有限公司</w:t>
      </w:r>
      <w:bookmarkEnd w:id="9"/>
      <w:bookmarkEnd w:id="10"/>
      <w:bookmarkEnd w:id="11"/>
    </w:p>
    <w:p w14:paraId="067373F7">
      <w:pPr>
        <w:pStyle w:val="26"/>
        <w:widowControl/>
        <w:spacing w:before="75" w:beforeAutospacing="0" w:after="75" w:afterAutospacing="0" w:line="360" w:lineRule="atLeast"/>
        <w:ind w:right="720"/>
        <w:jc w:val="center"/>
        <w:outlineLvl w:val="0"/>
        <w:rPr>
          <w:rFonts w:hint="eastAsia" w:asciiTheme="minorEastAsia" w:hAnsiTheme="minorEastAsia" w:cstheme="minorEastAsia"/>
          <w:color w:val="auto"/>
        </w:rPr>
      </w:pPr>
      <w:bookmarkStart w:id="12" w:name="_Toc23731"/>
      <w:bookmarkStart w:id="13" w:name="_Toc4521"/>
      <w:bookmarkStart w:id="14" w:name="_Toc30963"/>
      <w:r>
        <w:rPr>
          <w:rStyle w:val="34"/>
          <w:rFonts w:hint="eastAsia" w:asciiTheme="minorEastAsia" w:hAnsiTheme="minorEastAsia" w:cstheme="minorEastAsia"/>
          <w:color w:val="auto"/>
          <w:sz w:val="32"/>
          <w:szCs w:val="32"/>
        </w:rPr>
        <w:t>202</w:t>
      </w:r>
      <w:r>
        <w:rPr>
          <w:rStyle w:val="34"/>
          <w:rFonts w:hint="eastAsia" w:asciiTheme="minorEastAsia" w:hAnsiTheme="minorEastAsia" w:cstheme="minorEastAsia"/>
          <w:color w:val="auto"/>
          <w:sz w:val="32"/>
          <w:szCs w:val="32"/>
          <w:lang w:val="en-US" w:eastAsia="zh-CN"/>
        </w:rPr>
        <w:t>6</w:t>
      </w:r>
      <w:r>
        <w:rPr>
          <w:rStyle w:val="34"/>
          <w:rFonts w:hint="eastAsia" w:asciiTheme="minorEastAsia" w:hAnsiTheme="minorEastAsia" w:cstheme="minorEastAsia"/>
          <w:color w:val="auto"/>
          <w:sz w:val="32"/>
          <w:szCs w:val="32"/>
        </w:rPr>
        <w:t>年</w:t>
      </w:r>
      <w:r>
        <w:rPr>
          <w:rStyle w:val="34"/>
          <w:rFonts w:hint="eastAsia" w:asciiTheme="minorEastAsia" w:hAnsiTheme="minorEastAsia" w:cstheme="minorEastAsia"/>
          <w:color w:val="auto"/>
          <w:sz w:val="32"/>
          <w:szCs w:val="32"/>
          <w:lang w:val="en-US" w:eastAsia="zh-CN"/>
        </w:rPr>
        <w:t>3</w:t>
      </w:r>
      <w:r>
        <w:rPr>
          <w:rStyle w:val="34"/>
          <w:rFonts w:hint="eastAsia" w:asciiTheme="minorEastAsia" w:hAnsiTheme="minorEastAsia" w:cstheme="minorEastAsia"/>
          <w:color w:val="auto"/>
          <w:sz w:val="32"/>
          <w:szCs w:val="32"/>
        </w:rPr>
        <w:t>月</w:t>
      </w:r>
      <w:bookmarkEnd w:id="12"/>
      <w:bookmarkEnd w:id="13"/>
      <w:bookmarkEnd w:id="14"/>
    </w:p>
    <w:p w14:paraId="5A13ECC2">
      <w:pPr>
        <w:pStyle w:val="26"/>
        <w:widowControl/>
        <w:spacing w:before="75" w:beforeAutospacing="0" w:after="75" w:afterAutospacing="0"/>
        <w:rPr>
          <w:rStyle w:val="34"/>
          <w:rFonts w:hint="eastAsia" w:asciiTheme="minorEastAsia" w:hAnsiTheme="minorEastAsia" w:cstheme="minorEastAsia"/>
          <w:color w:val="auto"/>
          <w:sz w:val="36"/>
          <w:szCs w:val="36"/>
        </w:rPr>
        <w:sectPr>
          <w:footerReference r:id="rId3" w:type="default"/>
          <w:pgSz w:w="11906" w:h="16838"/>
          <w:pgMar w:top="1134" w:right="964" w:bottom="1134" w:left="964" w:header="851" w:footer="992" w:gutter="0"/>
          <w:cols w:space="425" w:num="1"/>
          <w:docGrid w:type="lines" w:linePitch="312" w:charSpace="0"/>
        </w:sectPr>
      </w:pPr>
    </w:p>
    <w:p w14:paraId="7A31E04A">
      <w:pPr>
        <w:jc w:val="center"/>
        <w:rPr>
          <w:rFonts w:hint="eastAsia" w:asciiTheme="minorEastAsia" w:hAnsiTheme="minorEastAsia" w:cstheme="minorEastAsia"/>
          <w:b/>
          <w:color w:val="auto"/>
        </w:rPr>
      </w:pPr>
    </w:p>
    <w:p w14:paraId="42C2519B">
      <w:pPr>
        <w:spacing w:line="360" w:lineRule="auto"/>
        <w:jc w:val="center"/>
        <w:rPr>
          <w:rFonts w:hint="eastAsia" w:ascii="宋体" w:hAnsi="宋体"/>
          <w:color w:val="auto"/>
          <w:sz w:val="36"/>
          <w:szCs w:val="36"/>
        </w:rPr>
      </w:pPr>
      <w:r>
        <w:rPr>
          <w:rFonts w:hint="eastAsia" w:ascii="宋体" w:hAnsi="宋体"/>
          <w:color w:val="auto"/>
          <w:sz w:val="36"/>
          <w:szCs w:val="36"/>
        </w:rPr>
        <w:t>目   录</w:t>
      </w:r>
    </w:p>
    <w:p w14:paraId="2AC9F4F6">
      <w:pPr>
        <w:pStyle w:val="24"/>
        <w:tabs>
          <w:tab w:val="right" w:leader="dot" w:pos="9638"/>
        </w:tabs>
      </w:pPr>
      <w:r>
        <w:rPr>
          <w:rFonts w:hint="eastAsia" w:asciiTheme="minorEastAsia" w:hAnsiTheme="minorEastAsia" w:eastAsiaTheme="minorEastAsia" w:cstheme="minorEastAsia"/>
          <w:color w:val="auto"/>
          <w:kern w:val="0"/>
          <w:sz w:val="24"/>
          <w:szCs w:val="36"/>
          <w:lang w:val="en-US" w:eastAsia="zh-CN" w:bidi="ar-SA"/>
        </w:rPr>
        <w:fldChar w:fldCharType="begin"/>
      </w:r>
      <w:r>
        <w:rPr>
          <w:rFonts w:hint="eastAsia" w:asciiTheme="minorEastAsia" w:hAnsiTheme="minorEastAsia" w:eastAsiaTheme="minorEastAsia" w:cstheme="minorEastAsia"/>
          <w:color w:val="auto"/>
          <w:kern w:val="0"/>
          <w:sz w:val="24"/>
          <w:szCs w:val="36"/>
          <w:lang w:val="en-US" w:eastAsia="zh-CN" w:bidi="ar-SA"/>
        </w:rPr>
        <w:instrText xml:space="preserve">TOC \o "1-3" \h \u </w:instrText>
      </w:r>
      <w:r>
        <w:rPr>
          <w:rFonts w:hint="eastAsia" w:asciiTheme="minorEastAsia" w:hAnsiTheme="minorEastAsia" w:eastAsiaTheme="minorEastAsia" w:cstheme="minorEastAsia"/>
          <w:color w:val="auto"/>
          <w:kern w:val="0"/>
          <w:sz w:val="24"/>
          <w:szCs w:val="36"/>
          <w:lang w:val="en-US" w:eastAsia="zh-CN" w:bidi="ar-SA"/>
        </w:rPr>
        <w:fldChar w:fldCharType="separate"/>
      </w:r>
    </w:p>
    <w:p w14:paraId="08958CB5">
      <w:pPr>
        <w:pStyle w:val="24"/>
        <w:tabs>
          <w:tab w:val="right" w:leader="dot" w:pos="9638"/>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val="en-US" w:eastAsia="zh-CN" w:bidi="ar-SA"/>
        </w:rPr>
        <w:fldChar w:fldCharType="begin"/>
      </w:r>
      <w:r>
        <w:rPr>
          <w:rFonts w:hint="eastAsia" w:asciiTheme="minorEastAsia" w:hAnsiTheme="minorEastAsia" w:eastAsiaTheme="minorEastAsia" w:cstheme="minorEastAsia"/>
          <w:kern w:val="0"/>
          <w:sz w:val="24"/>
          <w:szCs w:val="24"/>
          <w:lang w:val="en-US" w:eastAsia="zh-CN" w:bidi="ar-SA"/>
        </w:rPr>
        <w:instrText xml:space="preserve"> HYPERLINK \l _Toc16860 </w:instrText>
      </w:r>
      <w:r>
        <w:rPr>
          <w:rFonts w:hint="eastAsia" w:asciiTheme="minorEastAsia" w:hAnsiTheme="minorEastAsia" w:eastAsiaTheme="minorEastAsia" w:cstheme="minorEastAsia"/>
          <w:kern w:val="0"/>
          <w:sz w:val="24"/>
          <w:szCs w:val="24"/>
          <w:lang w:val="en-US" w:eastAsia="zh-CN" w:bidi="ar-SA"/>
        </w:rPr>
        <w:fldChar w:fldCharType="separate"/>
      </w:r>
      <w:r>
        <w:rPr>
          <w:rFonts w:hint="eastAsia" w:asciiTheme="minorEastAsia" w:hAnsiTheme="minorEastAsia" w:eastAsiaTheme="minorEastAsia" w:cstheme="minorEastAsia"/>
          <w:sz w:val="24"/>
          <w:szCs w:val="24"/>
        </w:rPr>
        <w:t>第一章 采购邀请书</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_Toc16860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kern w:val="0"/>
          <w:sz w:val="24"/>
          <w:szCs w:val="24"/>
          <w:lang w:val="en-US" w:eastAsia="zh-CN" w:bidi="ar-SA"/>
        </w:rPr>
        <w:fldChar w:fldCharType="end"/>
      </w:r>
    </w:p>
    <w:p w14:paraId="3129DDFD">
      <w:pPr>
        <w:pStyle w:val="24"/>
        <w:tabs>
          <w:tab w:val="right" w:leader="dot" w:pos="9638"/>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val="en-US" w:eastAsia="zh-CN" w:bidi="ar-SA"/>
        </w:rPr>
        <w:fldChar w:fldCharType="begin"/>
      </w:r>
      <w:r>
        <w:rPr>
          <w:rFonts w:hint="eastAsia" w:asciiTheme="minorEastAsia" w:hAnsiTheme="minorEastAsia" w:eastAsiaTheme="minorEastAsia" w:cstheme="minorEastAsia"/>
          <w:kern w:val="0"/>
          <w:sz w:val="24"/>
          <w:szCs w:val="24"/>
          <w:lang w:val="en-US" w:eastAsia="zh-CN" w:bidi="ar-SA"/>
        </w:rPr>
        <w:instrText xml:space="preserve"> HYPERLINK \l _Toc11703 </w:instrText>
      </w:r>
      <w:r>
        <w:rPr>
          <w:rFonts w:hint="eastAsia" w:asciiTheme="minorEastAsia" w:hAnsiTheme="minorEastAsia" w:eastAsiaTheme="minorEastAsia" w:cstheme="minorEastAsia"/>
          <w:kern w:val="0"/>
          <w:sz w:val="24"/>
          <w:szCs w:val="24"/>
          <w:lang w:val="en-US" w:eastAsia="zh-CN" w:bidi="ar-SA"/>
        </w:rPr>
        <w:fldChar w:fldCharType="separate"/>
      </w:r>
      <w:r>
        <w:rPr>
          <w:rFonts w:hint="eastAsia" w:asciiTheme="minorEastAsia" w:hAnsiTheme="minorEastAsia" w:eastAsiaTheme="minorEastAsia" w:cstheme="minorEastAsia"/>
          <w:sz w:val="24"/>
          <w:szCs w:val="24"/>
        </w:rPr>
        <w:t>第二章 竞争性磋商须知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_Toc11703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kern w:val="0"/>
          <w:sz w:val="24"/>
          <w:szCs w:val="24"/>
          <w:lang w:val="en-US" w:eastAsia="zh-CN" w:bidi="ar-SA"/>
        </w:rPr>
        <w:fldChar w:fldCharType="end"/>
      </w:r>
    </w:p>
    <w:p w14:paraId="658EC294">
      <w:pPr>
        <w:pStyle w:val="24"/>
        <w:tabs>
          <w:tab w:val="right" w:leader="dot" w:pos="9638"/>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val="en-US" w:eastAsia="zh-CN" w:bidi="ar-SA"/>
        </w:rPr>
        <w:fldChar w:fldCharType="begin"/>
      </w:r>
      <w:r>
        <w:rPr>
          <w:rFonts w:hint="eastAsia" w:asciiTheme="minorEastAsia" w:hAnsiTheme="minorEastAsia" w:eastAsiaTheme="minorEastAsia" w:cstheme="minorEastAsia"/>
          <w:kern w:val="0"/>
          <w:sz w:val="24"/>
          <w:szCs w:val="24"/>
          <w:lang w:val="en-US" w:eastAsia="zh-CN" w:bidi="ar-SA"/>
        </w:rPr>
        <w:instrText xml:space="preserve"> HYPERLINK \l _Toc15056 </w:instrText>
      </w:r>
      <w:r>
        <w:rPr>
          <w:rFonts w:hint="eastAsia" w:asciiTheme="minorEastAsia" w:hAnsiTheme="minorEastAsia" w:eastAsiaTheme="minorEastAsia" w:cstheme="minorEastAsia"/>
          <w:kern w:val="0"/>
          <w:sz w:val="24"/>
          <w:szCs w:val="24"/>
          <w:lang w:val="en-US" w:eastAsia="zh-CN" w:bidi="ar-SA"/>
        </w:rPr>
        <w:fldChar w:fldCharType="separate"/>
      </w:r>
      <w:r>
        <w:rPr>
          <w:rFonts w:hint="eastAsia" w:asciiTheme="minorEastAsia" w:hAnsiTheme="minorEastAsia" w:eastAsiaTheme="minorEastAsia" w:cstheme="minorEastAsia"/>
          <w:sz w:val="24"/>
          <w:szCs w:val="24"/>
        </w:rPr>
        <w:t>第三章 磋商内容及要求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_Toc15056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kern w:val="0"/>
          <w:sz w:val="24"/>
          <w:szCs w:val="24"/>
          <w:lang w:val="en-US" w:eastAsia="zh-CN" w:bidi="ar-SA"/>
        </w:rPr>
        <w:fldChar w:fldCharType="end"/>
      </w:r>
    </w:p>
    <w:p w14:paraId="61620094">
      <w:pPr>
        <w:pStyle w:val="24"/>
        <w:tabs>
          <w:tab w:val="right" w:leader="dot" w:pos="9638"/>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val="en-US" w:eastAsia="zh-CN" w:bidi="ar-SA"/>
        </w:rPr>
        <w:fldChar w:fldCharType="begin"/>
      </w:r>
      <w:r>
        <w:rPr>
          <w:rFonts w:hint="eastAsia" w:asciiTheme="minorEastAsia" w:hAnsiTheme="minorEastAsia" w:eastAsiaTheme="minorEastAsia" w:cstheme="minorEastAsia"/>
          <w:kern w:val="0"/>
          <w:sz w:val="24"/>
          <w:szCs w:val="24"/>
          <w:lang w:val="en-US" w:eastAsia="zh-CN" w:bidi="ar-SA"/>
        </w:rPr>
        <w:instrText xml:space="preserve"> HYPERLINK \l _Toc4702 </w:instrText>
      </w:r>
      <w:r>
        <w:rPr>
          <w:rFonts w:hint="eastAsia" w:asciiTheme="minorEastAsia" w:hAnsiTheme="minorEastAsia" w:eastAsiaTheme="minorEastAsia" w:cstheme="minorEastAsia"/>
          <w:kern w:val="0"/>
          <w:sz w:val="24"/>
          <w:szCs w:val="24"/>
          <w:lang w:val="en-US" w:eastAsia="zh-CN" w:bidi="ar-SA"/>
        </w:rPr>
        <w:fldChar w:fldCharType="separate"/>
      </w:r>
      <w:r>
        <w:rPr>
          <w:rFonts w:hint="eastAsia" w:asciiTheme="minorEastAsia" w:hAnsiTheme="minorEastAsia" w:eastAsiaTheme="minorEastAsia" w:cstheme="minorEastAsia"/>
          <w:sz w:val="24"/>
          <w:szCs w:val="24"/>
        </w:rPr>
        <w:t>第四章  合同格式（参考文本）</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_Toc4702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kern w:val="0"/>
          <w:sz w:val="24"/>
          <w:szCs w:val="24"/>
          <w:lang w:val="en-US" w:eastAsia="zh-CN" w:bidi="ar-SA"/>
        </w:rPr>
        <w:fldChar w:fldCharType="end"/>
      </w:r>
    </w:p>
    <w:p w14:paraId="6EFBF88E">
      <w:pPr>
        <w:pStyle w:val="24"/>
        <w:tabs>
          <w:tab w:val="right" w:leader="dot" w:pos="9638"/>
        </w:tabs>
        <w:spacing w:line="360" w:lineRule="auto"/>
      </w:pPr>
      <w:r>
        <w:rPr>
          <w:rFonts w:hint="eastAsia" w:asciiTheme="minorEastAsia" w:hAnsiTheme="minorEastAsia" w:eastAsiaTheme="minorEastAsia" w:cstheme="minorEastAsia"/>
          <w:color w:val="auto"/>
          <w:kern w:val="0"/>
          <w:sz w:val="24"/>
          <w:szCs w:val="24"/>
          <w:lang w:val="en-US" w:eastAsia="zh-CN" w:bidi="ar-SA"/>
        </w:rPr>
        <w:fldChar w:fldCharType="begin"/>
      </w:r>
      <w:r>
        <w:rPr>
          <w:rFonts w:hint="eastAsia" w:asciiTheme="minorEastAsia" w:hAnsiTheme="minorEastAsia" w:eastAsiaTheme="minorEastAsia" w:cstheme="minorEastAsia"/>
          <w:kern w:val="0"/>
          <w:sz w:val="24"/>
          <w:szCs w:val="24"/>
          <w:lang w:val="en-US" w:eastAsia="zh-CN" w:bidi="ar-SA"/>
        </w:rPr>
        <w:instrText xml:space="preserve"> HYPERLINK \l _Toc6243 </w:instrText>
      </w:r>
      <w:r>
        <w:rPr>
          <w:rFonts w:hint="eastAsia" w:asciiTheme="minorEastAsia" w:hAnsiTheme="minorEastAsia" w:eastAsiaTheme="minorEastAsia" w:cstheme="minorEastAsia"/>
          <w:kern w:val="0"/>
          <w:sz w:val="24"/>
          <w:szCs w:val="24"/>
          <w:lang w:val="en-US" w:eastAsia="zh-CN" w:bidi="ar-SA"/>
        </w:rPr>
        <w:fldChar w:fldCharType="separate"/>
      </w:r>
      <w:r>
        <w:rPr>
          <w:rFonts w:hint="eastAsia" w:asciiTheme="minorEastAsia" w:hAnsiTheme="minorEastAsia" w:eastAsiaTheme="minorEastAsia" w:cstheme="minorEastAsia"/>
          <w:sz w:val="24"/>
          <w:szCs w:val="24"/>
        </w:rPr>
        <w:t>第五章  响应文件格式</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_Toc6243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kern w:val="0"/>
          <w:sz w:val="24"/>
          <w:szCs w:val="24"/>
          <w:lang w:val="en-US" w:eastAsia="zh-CN" w:bidi="ar-SA"/>
        </w:rPr>
        <w:fldChar w:fldCharType="end"/>
      </w:r>
    </w:p>
    <w:p w14:paraId="4A71BE34">
      <w:pPr>
        <w:pStyle w:val="25"/>
        <w:tabs>
          <w:tab w:val="right" w:leader="dot" w:pos="9638"/>
        </w:tabs>
        <w:spacing w:line="360" w:lineRule="auto"/>
        <w:ind w:left="0" w:leftChars="0" w:firstLine="0" w:firstLineChars="0"/>
        <w:rPr>
          <w:rFonts w:hint="eastAsia" w:asciiTheme="minorEastAsia" w:hAnsiTheme="minorEastAsia" w:eastAsiaTheme="minorEastAsia" w:cstheme="minorEastAsia"/>
          <w:color w:val="auto"/>
          <w:kern w:val="0"/>
          <w:sz w:val="24"/>
          <w:szCs w:val="36"/>
          <w:lang w:val="en-US" w:eastAsia="zh-CN" w:bidi="ar-SA"/>
        </w:rPr>
        <w:sectPr>
          <w:footerReference r:id="rId4" w:type="default"/>
          <w:pgSz w:w="11906" w:h="16838"/>
          <w:pgMar w:top="1134" w:right="1134" w:bottom="1134" w:left="1134" w:header="851" w:footer="992" w:gutter="0"/>
          <w:cols w:space="425" w:num="1"/>
          <w:docGrid w:type="lines" w:linePitch="312" w:charSpace="0"/>
        </w:sectPr>
      </w:pPr>
      <w:r>
        <w:rPr>
          <w:rFonts w:hint="eastAsia" w:asciiTheme="minorEastAsia" w:hAnsiTheme="minorEastAsia" w:eastAsiaTheme="minorEastAsia" w:cstheme="minorEastAsia"/>
          <w:color w:val="auto"/>
          <w:kern w:val="0"/>
          <w:szCs w:val="36"/>
          <w:lang w:val="en-US" w:eastAsia="zh-CN" w:bidi="ar-SA"/>
        </w:rPr>
        <w:fldChar w:fldCharType="end"/>
      </w:r>
    </w:p>
    <w:p w14:paraId="4CF8FB3D">
      <w:pPr>
        <w:pStyle w:val="26"/>
        <w:widowControl/>
        <w:spacing w:before="75" w:beforeAutospacing="0" w:after="75" w:afterAutospacing="0"/>
        <w:ind w:firstLine="2891" w:firstLineChars="800"/>
        <w:outlineLvl w:val="0"/>
        <w:rPr>
          <w:rFonts w:hint="eastAsia" w:asciiTheme="minorEastAsia" w:hAnsiTheme="minorEastAsia" w:cstheme="minorEastAsia"/>
          <w:color w:val="auto"/>
          <w:sz w:val="36"/>
          <w:szCs w:val="36"/>
        </w:rPr>
      </w:pPr>
      <w:bookmarkStart w:id="15" w:name="_Toc16860"/>
      <w:r>
        <w:rPr>
          <w:rStyle w:val="34"/>
          <w:rFonts w:hint="eastAsia" w:asciiTheme="minorEastAsia" w:hAnsiTheme="minorEastAsia" w:cstheme="minorEastAsia"/>
          <w:color w:val="auto"/>
          <w:sz w:val="36"/>
          <w:szCs w:val="36"/>
        </w:rPr>
        <w:t>第一章  采购邀请书</w:t>
      </w:r>
      <w:bookmarkEnd w:id="15"/>
    </w:p>
    <w:p w14:paraId="42E72C87">
      <w:pPr>
        <w:pStyle w:val="26"/>
        <w:widowControl/>
        <w:spacing w:before="75" w:beforeAutospacing="0" w:after="75" w:afterAutospacing="0"/>
        <w:jc w:val="center"/>
        <w:rPr>
          <w:rFonts w:hint="eastAsia" w:asciiTheme="minorEastAsia" w:hAnsiTheme="minorEastAsia" w:cstheme="minorEastAsia"/>
          <w:color w:val="auto"/>
        </w:rPr>
      </w:pPr>
      <w:r>
        <w:rPr>
          <w:rStyle w:val="34"/>
          <w:rFonts w:hint="eastAsia" w:asciiTheme="minorEastAsia" w:hAnsiTheme="minorEastAsia" w:cstheme="minorEastAsia"/>
          <w:color w:val="auto"/>
          <w:sz w:val="36"/>
          <w:szCs w:val="36"/>
          <w:lang w:val="en-US" w:eastAsia="zh-CN"/>
        </w:rPr>
        <w:t xml:space="preserve"> </w:t>
      </w:r>
      <w:r>
        <w:rPr>
          <w:rStyle w:val="34"/>
          <w:rFonts w:hint="eastAsia" w:asciiTheme="minorEastAsia" w:hAnsiTheme="minorEastAsia" w:cstheme="minorEastAsia"/>
          <w:color w:val="auto"/>
          <w:sz w:val="36"/>
          <w:szCs w:val="36"/>
        </w:rPr>
        <w:t>竞争性磋商采购公告</w:t>
      </w:r>
      <w:r>
        <w:rPr>
          <w:rFonts w:hint="eastAsia" w:asciiTheme="minorEastAsia" w:hAnsiTheme="minorEastAsia" w:cstheme="minorEastAsia"/>
          <w:color w:val="auto"/>
        </w:rPr>
        <w:t> </w:t>
      </w:r>
    </w:p>
    <w:p w14:paraId="3605F102">
      <w:pPr>
        <w:pStyle w:val="26"/>
        <w:widowControl/>
        <w:spacing w:beforeAutospacing="0" w:afterAutospacing="0" w:line="440" w:lineRule="exact"/>
        <w:rPr>
          <w:rFonts w:hint="eastAsia" w:asciiTheme="minorEastAsia" w:hAnsiTheme="minorEastAsia" w:cstheme="minorEastAsia"/>
          <w:color w:val="auto"/>
        </w:rPr>
      </w:pPr>
      <w:r>
        <w:rPr>
          <w:rFonts w:hint="eastAsia" w:asciiTheme="minorEastAsia" w:hAnsiTheme="minorEastAsia" w:cstheme="minorEastAsia"/>
          <w:color w:val="auto"/>
        </w:rPr>
        <w:t>  </w:t>
      </w:r>
      <w:r>
        <w:rPr>
          <w:rFonts w:hint="eastAsia" w:asciiTheme="minorEastAsia" w:hAnsiTheme="minorEastAsia" w:cstheme="minorEastAsia"/>
          <w:color w:val="auto"/>
          <w:u w:val="single"/>
          <w:lang w:eastAsia="zh-CN"/>
        </w:rPr>
        <w:t>福建省楚源服饰有限责任公司</w:t>
      </w:r>
      <w:r>
        <w:rPr>
          <w:rFonts w:hint="eastAsia" w:asciiTheme="minorEastAsia" w:hAnsiTheme="minorEastAsia" w:cstheme="minorEastAsia"/>
          <w:color w:val="auto"/>
        </w:rPr>
        <w:t>已根据采购相关法律法规，经相应程序确定采用</w:t>
      </w:r>
      <w:r>
        <w:rPr>
          <w:rFonts w:hint="eastAsia" w:asciiTheme="minorEastAsia" w:hAnsiTheme="minorEastAsia" w:cstheme="minorEastAsia"/>
          <w:color w:val="auto"/>
          <w:u w:val="single"/>
        </w:rPr>
        <w:t>竞争性磋商</w:t>
      </w:r>
      <w:r>
        <w:rPr>
          <w:rFonts w:hint="eastAsia" w:asciiTheme="minorEastAsia" w:hAnsiTheme="minorEastAsia" w:cstheme="minorEastAsia"/>
          <w:color w:val="auto"/>
        </w:rPr>
        <w:t>方式组织</w:t>
      </w:r>
      <w:r>
        <w:rPr>
          <w:color w:val="auto"/>
        </w:rPr>
        <w:fldChar w:fldCharType="begin"/>
      </w:r>
      <w:r>
        <w:rPr>
          <w:color w:val="auto"/>
        </w:rPr>
        <w:instrText xml:space="preserve"> HYPERLINK "http://120.35.30.176/gpms/webPages" \l "bidCompileAction/javascript:void(0)" \o "福建省商务厅委托开展2021" </w:instrText>
      </w:r>
      <w:r>
        <w:rPr>
          <w:color w:val="auto"/>
        </w:rPr>
        <w:fldChar w:fldCharType="separate"/>
      </w:r>
      <w:r>
        <w:rPr>
          <w:rFonts w:hint="eastAsia" w:asciiTheme="minorEastAsia" w:hAnsiTheme="minorEastAsia" w:cstheme="minorEastAsia"/>
          <w:color w:val="auto"/>
          <w:u w:val="single"/>
          <w:lang w:eastAsia="zh-CN"/>
        </w:rPr>
        <w:t>2026至2027年度小规模工程施工单位采购项目</w:t>
      </w:r>
      <w:r>
        <w:rPr>
          <w:rFonts w:hint="eastAsia" w:asciiTheme="minorEastAsia" w:hAnsiTheme="minorEastAsia" w:cstheme="minorEastAsia"/>
          <w:color w:val="auto"/>
          <w:u w:val="single"/>
        </w:rPr>
        <w:fldChar w:fldCharType="end"/>
      </w:r>
      <w:r>
        <w:rPr>
          <w:rFonts w:hint="eastAsia" w:asciiTheme="minorEastAsia" w:hAnsiTheme="minorEastAsia" w:cstheme="minorEastAsia"/>
          <w:color w:val="auto"/>
        </w:rPr>
        <w:t>（以下简称：“本项目”）的采购活动，现欢迎国内合格的供应商前来参加。本项目由采购人委托</w:t>
      </w:r>
      <w:r>
        <w:rPr>
          <w:rFonts w:hint="eastAsia" w:asciiTheme="minorEastAsia" w:hAnsiTheme="minorEastAsia" w:cstheme="minorEastAsia"/>
          <w:color w:val="auto"/>
          <w:u w:val="single"/>
        </w:rPr>
        <w:t>福建立勤项目管理有限公司</w:t>
      </w:r>
      <w:r>
        <w:rPr>
          <w:rFonts w:hint="eastAsia" w:asciiTheme="minorEastAsia" w:hAnsiTheme="minorEastAsia" w:cstheme="minorEastAsia"/>
          <w:color w:val="auto"/>
        </w:rPr>
        <w:t>开展竞争性磋商活动。</w:t>
      </w:r>
    </w:p>
    <w:p w14:paraId="36651878">
      <w:pPr>
        <w:adjustRightInd w:val="0"/>
        <w:snapToGrid w:val="0"/>
        <w:spacing w:line="360" w:lineRule="auto"/>
        <w:ind w:firstLine="480" w:firstLineChars="200"/>
        <w:rPr>
          <w:rFonts w:hint="eastAsia" w:ascii="宋体" w:hAnsi="宋体"/>
          <w:color w:val="auto"/>
          <w:sz w:val="24"/>
        </w:rPr>
      </w:pPr>
      <w:r>
        <w:rPr>
          <w:rFonts w:hint="eastAsia" w:ascii="宋体" w:hAnsi="宋体"/>
          <w:color w:val="auto"/>
          <w:sz w:val="24"/>
        </w:rPr>
        <w:t>1、项目编号：</w:t>
      </w:r>
      <w:r>
        <w:rPr>
          <w:rFonts w:hint="eastAsia" w:ascii="宋体" w:hAnsi="宋体"/>
          <w:color w:val="auto"/>
          <w:sz w:val="24"/>
          <w:lang w:eastAsia="zh-CN"/>
        </w:rPr>
        <w:t>FJLQ20260051</w:t>
      </w:r>
      <w:r>
        <w:rPr>
          <w:rFonts w:hint="eastAsia" w:ascii="宋体" w:hAnsi="宋体"/>
          <w:color w:val="auto"/>
          <w:sz w:val="24"/>
        </w:rPr>
        <w:t xml:space="preserve"> </w:t>
      </w:r>
    </w:p>
    <w:p w14:paraId="4BC25F69">
      <w:pPr>
        <w:adjustRightInd w:val="0"/>
        <w:snapToGrid w:val="0"/>
        <w:spacing w:line="360" w:lineRule="auto"/>
        <w:ind w:firstLine="480" w:firstLineChars="200"/>
        <w:rPr>
          <w:rFonts w:hint="eastAsia" w:ascii="宋体" w:hAnsi="宋体"/>
          <w:color w:val="auto"/>
          <w:sz w:val="24"/>
        </w:rPr>
      </w:pPr>
      <w:r>
        <w:rPr>
          <w:rFonts w:hint="eastAsia" w:ascii="宋体" w:hAnsi="宋体"/>
          <w:color w:val="auto"/>
          <w:sz w:val="24"/>
        </w:rPr>
        <w:t>2、磋商项目名称、数量等内容：详见磋商项目一览表</w:t>
      </w:r>
    </w:p>
    <w:p w14:paraId="50B932D4">
      <w:pPr>
        <w:adjustRightInd w:val="0"/>
        <w:snapToGrid w:val="0"/>
        <w:spacing w:line="360" w:lineRule="auto"/>
        <w:ind w:firstLine="480" w:firstLineChars="200"/>
        <w:rPr>
          <w:rFonts w:hint="eastAsia" w:ascii="宋体" w:hAnsi="宋体"/>
          <w:color w:val="auto"/>
          <w:sz w:val="24"/>
        </w:rPr>
      </w:pPr>
      <w:r>
        <w:rPr>
          <w:rFonts w:hint="eastAsia" w:ascii="宋体" w:hAnsi="宋体"/>
          <w:color w:val="auto"/>
          <w:sz w:val="24"/>
        </w:rPr>
        <w:t>3、磋商文件获取（办理报名手续）时间、磋商文件提供期限：</w:t>
      </w:r>
      <w:r>
        <w:rPr>
          <w:rFonts w:hint="eastAsia" w:ascii="宋体" w:hAnsi="宋体"/>
          <w:color w:val="auto"/>
          <w:sz w:val="24"/>
          <w:u w:val="single"/>
        </w:rPr>
        <w:t>［202</w:t>
      </w:r>
      <w:r>
        <w:rPr>
          <w:rFonts w:hint="eastAsia" w:ascii="宋体" w:hAnsi="宋体"/>
          <w:color w:val="auto"/>
          <w:sz w:val="24"/>
          <w:u w:val="single"/>
          <w:lang w:val="en-US" w:eastAsia="zh-CN"/>
        </w:rPr>
        <w:t>6</w:t>
      </w:r>
      <w:r>
        <w:rPr>
          <w:rFonts w:hint="eastAsia" w:ascii="宋体" w:hAnsi="宋体"/>
          <w:color w:val="auto"/>
          <w:sz w:val="24"/>
          <w:u w:val="single"/>
        </w:rPr>
        <w:t>年</w:t>
      </w:r>
      <w:r>
        <w:rPr>
          <w:rFonts w:hint="eastAsia" w:ascii="宋体" w:hAnsi="宋体"/>
          <w:color w:val="auto"/>
          <w:sz w:val="24"/>
          <w:u w:val="single"/>
          <w:lang w:val="en-US" w:eastAsia="zh-CN"/>
        </w:rPr>
        <w:t xml:space="preserve">  </w:t>
      </w:r>
      <w:r>
        <w:rPr>
          <w:rFonts w:hint="eastAsia" w:ascii="宋体" w:hAnsi="宋体"/>
          <w:color w:val="auto"/>
          <w:sz w:val="24"/>
          <w:u w:val="single"/>
        </w:rPr>
        <w:t>月</w:t>
      </w:r>
      <w:r>
        <w:rPr>
          <w:rFonts w:hint="eastAsia" w:ascii="宋体" w:hAnsi="宋体"/>
          <w:color w:val="auto"/>
          <w:sz w:val="24"/>
          <w:u w:val="single"/>
          <w:lang w:val="en-US" w:eastAsia="zh-CN"/>
        </w:rPr>
        <w:t xml:space="preserve">  </w:t>
      </w:r>
      <w:r>
        <w:rPr>
          <w:rFonts w:hint="eastAsia" w:ascii="宋体" w:hAnsi="宋体"/>
          <w:color w:val="auto"/>
          <w:sz w:val="24"/>
          <w:u w:val="single"/>
        </w:rPr>
        <w:t>日］至［202</w:t>
      </w:r>
      <w:r>
        <w:rPr>
          <w:rFonts w:hint="eastAsia" w:ascii="宋体" w:hAnsi="宋体"/>
          <w:color w:val="auto"/>
          <w:sz w:val="24"/>
          <w:u w:val="single"/>
          <w:lang w:val="en-US" w:eastAsia="zh-CN"/>
        </w:rPr>
        <w:t>6</w:t>
      </w:r>
      <w:r>
        <w:rPr>
          <w:rFonts w:hint="eastAsia" w:ascii="宋体" w:hAnsi="宋体"/>
          <w:color w:val="auto"/>
          <w:sz w:val="24"/>
          <w:u w:val="single"/>
        </w:rPr>
        <w:t>年</w:t>
      </w:r>
      <w:r>
        <w:rPr>
          <w:rFonts w:hint="eastAsia" w:ascii="宋体" w:hAnsi="宋体"/>
          <w:color w:val="auto"/>
          <w:sz w:val="24"/>
          <w:u w:val="single"/>
          <w:lang w:val="en-US" w:eastAsia="zh-CN"/>
        </w:rPr>
        <w:t xml:space="preserve">  </w:t>
      </w:r>
      <w:r>
        <w:rPr>
          <w:rFonts w:hint="eastAsia" w:ascii="宋体" w:hAnsi="宋体"/>
          <w:color w:val="auto"/>
          <w:sz w:val="24"/>
          <w:u w:val="single"/>
        </w:rPr>
        <w:t>月</w:t>
      </w:r>
      <w:r>
        <w:rPr>
          <w:rFonts w:hint="eastAsia" w:ascii="宋体" w:hAnsi="宋体"/>
          <w:color w:val="auto"/>
          <w:sz w:val="24"/>
          <w:u w:val="single"/>
          <w:lang w:val="en-US" w:eastAsia="zh-CN"/>
        </w:rPr>
        <w:t xml:space="preserve">  </w:t>
      </w:r>
      <w:r>
        <w:rPr>
          <w:rFonts w:hint="eastAsia" w:ascii="宋体" w:hAnsi="宋体"/>
          <w:color w:val="auto"/>
          <w:sz w:val="24"/>
          <w:u w:val="single"/>
        </w:rPr>
        <w:t>日］</w:t>
      </w:r>
      <w:r>
        <w:rPr>
          <w:rFonts w:ascii="宋体" w:hAnsi="宋体"/>
          <w:color w:val="auto"/>
          <w:sz w:val="24"/>
        </w:rPr>
        <w:t>(</w:t>
      </w:r>
      <w:r>
        <w:rPr>
          <w:rFonts w:hint="eastAsia" w:ascii="宋体" w:hAnsi="宋体"/>
          <w:color w:val="auto"/>
          <w:sz w:val="24"/>
        </w:rPr>
        <w:t>公休、节假日除外</w:t>
      </w:r>
      <w:r>
        <w:rPr>
          <w:rFonts w:ascii="宋体" w:hAnsi="宋体"/>
          <w:color w:val="auto"/>
          <w:sz w:val="24"/>
        </w:rPr>
        <w:t>)</w:t>
      </w:r>
      <w:r>
        <w:rPr>
          <w:rFonts w:hint="eastAsia" w:ascii="宋体" w:hAnsi="宋体"/>
          <w:color w:val="auto"/>
          <w:sz w:val="24"/>
        </w:rPr>
        <w:t>，每天8:30</w:t>
      </w:r>
      <w:r>
        <w:rPr>
          <w:rFonts w:ascii="宋体" w:hAnsi="宋体"/>
          <w:color w:val="auto"/>
          <w:sz w:val="24"/>
        </w:rPr>
        <w:t>–</w:t>
      </w:r>
      <w:r>
        <w:rPr>
          <w:rFonts w:hint="eastAsia" w:ascii="宋体" w:hAnsi="宋体"/>
          <w:color w:val="auto"/>
          <w:sz w:val="24"/>
        </w:rPr>
        <w:t>12:00，14:30</w:t>
      </w:r>
      <w:r>
        <w:rPr>
          <w:rFonts w:ascii="宋体" w:hAnsi="宋体"/>
          <w:color w:val="auto"/>
          <w:sz w:val="24"/>
        </w:rPr>
        <w:t>–</w:t>
      </w:r>
      <w:r>
        <w:rPr>
          <w:rFonts w:hint="eastAsia" w:ascii="宋体" w:hAnsi="宋体"/>
          <w:color w:val="auto"/>
          <w:sz w:val="24"/>
        </w:rPr>
        <w:t>17:30（北京时间）。地点：福建立勤项目管理有限公司（福州市鼓楼区工业路523号福大怡山文化创意园北区3号楼101二层）。</w:t>
      </w:r>
    </w:p>
    <w:p w14:paraId="78455FA8">
      <w:pPr>
        <w:pStyle w:val="19"/>
        <w:adjustRightInd w:val="0"/>
        <w:snapToGrid w:val="0"/>
        <w:spacing w:line="360" w:lineRule="auto"/>
        <w:ind w:firstLine="480" w:firstLineChars="200"/>
        <w:jc w:val="left"/>
        <w:rPr>
          <w:rFonts w:hint="eastAsia" w:hAnsi="宋体"/>
          <w:color w:val="auto"/>
          <w:sz w:val="24"/>
          <w:szCs w:val="24"/>
        </w:rPr>
      </w:pPr>
      <w:r>
        <w:rPr>
          <w:rFonts w:hint="eastAsia" w:hAnsi="宋体"/>
          <w:color w:val="auto"/>
          <w:sz w:val="24"/>
          <w:szCs w:val="24"/>
        </w:rPr>
        <w:t>4、磋商文件售价：磋商文件（纸质或电子）每套</w:t>
      </w:r>
      <w:r>
        <w:rPr>
          <w:rFonts w:hint="eastAsia" w:hAnsi="宋体"/>
          <w:color w:val="auto"/>
          <w:sz w:val="24"/>
          <w:szCs w:val="24"/>
          <w:lang w:val="en-US" w:eastAsia="zh-CN"/>
        </w:rPr>
        <w:t>0</w:t>
      </w:r>
      <w:r>
        <w:rPr>
          <w:rFonts w:hint="eastAsia" w:hAnsi="宋体"/>
          <w:color w:val="auto"/>
          <w:sz w:val="24"/>
          <w:szCs w:val="24"/>
        </w:rPr>
        <w:t>元，若邮寄，另加50元特快专递费，磋商文件售出一概不退。代理机构不对邮寄过程中可能发生的延误或丢失负责。（1）现场办理：可直接至代理机构办理书面登记手续。（2）采用邮件方式办理：在福建立勤项目管理有限公司官网“办事指南”《供应商获取采购文件注意事项（含登记表下载）》（</w:t>
      </w:r>
      <w:r>
        <w:rPr>
          <w:rFonts w:hAnsi="宋体"/>
          <w:color w:val="auto"/>
          <w:sz w:val="24"/>
          <w:szCs w:val="24"/>
        </w:rPr>
        <w:t>http://www.fjlqzb.com/newshow.aspx?NewsID=3</w:t>
      </w:r>
      <w:r>
        <w:rPr>
          <w:rFonts w:hint="eastAsia" w:hAnsi="宋体"/>
          <w:color w:val="auto"/>
          <w:sz w:val="24"/>
          <w:szCs w:val="24"/>
        </w:rPr>
        <w:t>）下载《获取采购文件登记表》，并将填写好的word文档(无盖章版)</w:t>
      </w:r>
      <w:r>
        <w:rPr>
          <w:rFonts w:hint="eastAsia" w:hAnsi="宋体"/>
          <w:color w:val="auto"/>
          <w:sz w:val="24"/>
        </w:rPr>
        <w:t xml:space="preserve"> 、盖章版扫描件</w:t>
      </w:r>
      <w:r>
        <w:rPr>
          <w:rFonts w:hint="eastAsia" w:hAnsi="宋体"/>
          <w:color w:val="auto"/>
          <w:sz w:val="24"/>
          <w:szCs w:val="24"/>
        </w:rPr>
        <w:t>一并发送至代理机构邮箱(fjlqzb888@126.com)，发送邮件后请电话联系代理机构前台(0591-63037991)办理。</w:t>
      </w:r>
      <w:r>
        <w:rPr>
          <w:rFonts w:hint="eastAsia" w:hAnsi="宋体"/>
          <w:bCs/>
          <w:color w:val="auto"/>
          <w:sz w:val="24"/>
          <w:szCs w:val="24"/>
        </w:rPr>
        <w:t>（不接受未办理获取磋商文件事宜的供应商参与。）</w:t>
      </w:r>
    </w:p>
    <w:p w14:paraId="38968828">
      <w:pPr>
        <w:spacing w:line="360" w:lineRule="auto"/>
        <w:ind w:firstLine="482" w:firstLineChars="200"/>
        <w:rPr>
          <w:rFonts w:hint="eastAsia" w:ascii="宋体" w:hAnsi="宋体"/>
          <w:b/>
          <w:color w:val="auto"/>
          <w:sz w:val="24"/>
          <w:u w:val="single"/>
        </w:rPr>
      </w:pPr>
      <w:r>
        <w:rPr>
          <w:rFonts w:hint="eastAsia" w:ascii="宋体" w:hAnsi="宋体"/>
          <w:b/>
          <w:color w:val="auto"/>
          <w:sz w:val="24"/>
        </w:rPr>
        <w:t>5、响应文件提交截止时间及地点：</w:t>
      </w:r>
      <w:r>
        <w:rPr>
          <w:rFonts w:hint="eastAsia" w:ascii="宋体" w:hAnsi="宋体"/>
          <w:color w:val="auto"/>
          <w:sz w:val="24"/>
        </w:rPr>
        <w:t>响应文件应于</w:t>
      </w:r>
      <w:r>
        <w:rPr>
          <w:rFonts w:hint="eastAsia" w:ascii="宋体" w:hAnsi="宋体"/>
          <w:b/>
          <w:color w:val="auto"/>
          <w:sz w:val="24"/>
          <w:u w:val="single"/>
        </w:rPr>
        <w:t>［202</w:t>
      </w:r>
      <w:r>
        <w:rPr>
          <w:rFonts w:hint="eastAsia" w:ascii="宋体" w:hAnsi="宋体"/>
          <w:b/>
          <w:color w:val="auto"/>
          <w:sz w:val="24"/>
          <w:u w:val="single"/>
          <w:lang w:val="en-US" w:eastAsia="zh-CN"/>
        </w:rPr>
        <w:t>6</w:t>
      </w:r>
      <w:r>
        <w:rPr>
          <w:rFonts w:hint="eastAsia" w:ascii="宋体" w:hAnsi="宋体"/>
          <w:b/>
          <w:color w:val="auto"/>
          <w:sz w:val="24"/>
          <w:u w:val="single"/>
        </w:rPr>
        <w:t>年</w:t>
      </w:r>
      <w:r>
        <w:rPr>
          <w:rFonts w:hint="eastAsia" w:ascii="宋体" w:hAnsi="宋体"/>
          <w:b/>
          <w:color w:val="auto"/>
          <w:sz w:val="24"/>
          <w:u w:val="single"/>
          <w:lang w:val="en-US" w:eastAsia="zh-CN"/>
        </w:rPr>
        <w:t xml:space="preserve">  </w:t>
      </w:r>
      <w:r>
        <w:rPr>
          <w:rFonts w:hint="eastAsia" w:ascii="宋体" w:hAnsi="宋体"/>
          <w:b/>
          <w:color w:val="auto"/>
          <w:sz w:val="24"/>
          <w:u w:val="single"/>
        </w:rPr>
        <w:t>月</w:t>
      </w:r>
      <w:r>
        <w:rPr>
          <w:rFonts w:hint="eastAsia" w:ascii="宋体" w:hAnsi="宋体"/>
          <w:b/>
          <w:color w:val="auto"/>
          <w:sz w:val="24"/>
          <w:u w:val="single"/>
          <w:lang w:val="en-US" w:eastAsia="zh-CN"/>
        </w:rPr>
        <w:t xml:space="preserve">  </w:t>
      </w:r>
      <w:r>
        <w:rPr>
          <w:rFonts w:hint="eastAsia" w:ascii="宋体" w:hAnsi="宋体"/>
          <w:b/>
          <w:color w:val="auto"/>
          <w:sz w:val="24"/>
          <w:u w:val="single"/>
        </w:rPr>
        <w:t>日］（北京时间）</w:t>
      </w:r>
      <w:r>
        <w:rPr>
          <w:rFonts w:hint="eastAsia" w:ascii="宋体" w:hAnsi="宋体"/>
          <w:color w:val="auto"/>
          <w:sz w:val="24"/>
        </w:rPr>
        <w:t>之前提交到</w:t>
      </w:r>
      <w:r>
        <w:rPr>
          <w:rFonts w:hint="eastAsia" w:ascii="宋体" w:hAnsi="宋体"/>
          <w:b/>
          <w:color w:val="auto"/>
          <w:sz w:val="24"/>
          <w:u w:val="single"/>
        </w:rPr>
        <w:t>福建立勤项目管理有限公司开标大厅（福州市鼓楼区工业路523号福大怡山文化创意园北区3号楼101一层）</w:t>
      </w:r>
      <w:r>
        <w:rPr>
          <w:rFonts w:hint="eastAsia" w:ascii="宋体" w:hAnsi="宋体"/>
          <w:color w:val="auto"/>
          <w:sz w:val="24"/>
        </w:rPr>
        <w:t>，逾期送达的或不符合规定的响应文件将被拒绝。</w:t>
      </w:r>
      <w:r>
        <w:rPr>
          <w:rFonts w:hint="eastAsia" w:ascii="宋体" w:hAnsi="宋体"/>
          <w:b/>
          <w:color w:val="auto"/>
          <w:sz w:val="24"/>
        </w:rPr>
        <w:t>【温馨提示：</w:t>
      </w:r>
      <w:r>
        <w:rPr>
          <w:rFonts w:hint="eastAsia" w:ascii="宋体" w:hAnsi="宋体"/>
          <w:b/>
          <w:color w:val="auto"/>
          <w:sz w:val="24"/>
          <w:u w:val="single"/>
        </w:rPr>
        <w:t>由于交通拥堵，务请注意留足送交文件途中所需时间，避免迟到。</w:t>
      </w:r>
      <w:r>
        <w:rPr>
          <w:rFonts w:hint="eastAsia" w:ascii="宋体" w:hAnsi="宋体"/>
          <w:b/>
          <w:color w:val="auto"/>
          <w:sz w:val="24"/>
        </w:rPr>
        <w:t>】</w:t>
      </w:r>
    </w:p>
    <w:p w14:paraId="6D36A86C">
      <w:pPr>
        <w:adjustRightInd w:val="0"/>
        <w:snapToGrid w:val="0"/>
        <w:spacing w:line="360" w:lineRule="auto"/>
        <w:ind w:left="480"/>
        <w:outlineLvl w:val="1"/>
        <w:rPr>
          <w:rFonts w:hint="eastAsia" w:ascii="宋体" w:hAnsi="宋体"/>
          <w:b/>
          <w:color w:val="auto"/>
          <w:sz w:val="24"/>
        </w:rPr>
      </w:pPr>
      <w:bookmarkStart w:id="16" w:name="_Toc8911"/>
      <w:bookmarkStart w:id="17" w:name="_Toc10468"/>
      <w:r>
        <w:rPr>
          <w:rFonts w:hint="eastAsia" w:ascii="宋体" w:hAnsi="宋体"/>
          <w:b/>
          <w:color w:val="auto"/>
          <w:sz w:val="24"/>
        </w:rPr>
        <w:t>6、磋商时间：</w:t>
      </w:r>
      <w:r>
        <w:rPr>
          <w:rFonts w:hint="eastAsia" w:ascii="宋体" w:hAnsi="宋体"/>
          <w:b/>
          <w:color w:val="auto"/>
          <w:sz w:val="24"/>
          <w:u w:val="single"/>
        </w:rPr>
        <w:t>[202</w:t>
      </w:r>
      <w:r>
        <w:rPr>
          <w:rFonts w:hint="eastAsia" w:ascii="宋体" w:hAnsi="宋体"/>
          <w:b/>
          <w:color w:val="auto"/>
          <w:sz w:val="24"/>
          <w:u w:val="single"/>
          <w:lang w:val="en-US" w:eastAsia="zh-CN"/>
        </w:rPr>
        <w:t>6</w:t>
      </w:r>
      <w:r>
        <w:rPr>
          <w:rFonts w:hint="eastAsia" w:ascii="宋体" w:hAnsi="宋体"/>
          <w:b/>
          <w:color w:val="auto"/>
          <w:sz w:val="24"/>
          <w:u w:val="single"/>
        </w:rPr>
        <w:t>年</w:t>
      </w:r>
      <w:r>
        <w:rPr>
          <w:rFonts w:hint="eastAsia" w:ascii="宋体" w:hAnsi="宋体"/>
          <w:b/>
          <w:color w:val="auto"/>
          <w:sz w:val="24"/>
          <w:u w:val="single"/>
          <w:lang w:val="en-US" w:eastAsia="zh-CN"/>
        </w:rPr>
        <w:t xml:space="preserve">  </w:t>
      </w:r>
      <w:r>
        <w:rPr>
          <w:rFonts w:hint="eastAsia" w:ascii="宋体" w:hAnsi="宋体"/>
          <w:b/>
          <w:color w:val="auto"/>
          <w:sz w:val="24"/>
          <w:u w:val="single"/>
        </w:rPr>
        <w:t>月</w:t>
      </w:r>
      <w:r>
        <w:rPr>
          <w:rFonts w:hint="eastAsia" w:ascii="宋体" w:hAnsi="宋体"/>
          <w:b/>
          <w:color w:val="auto"/>
          <w:sz w:val="24"/>
          <w:u w:val="single"/>
          <w:lang w:val="en-US" w:eastAsia="zh-CN"/>
        </w:rPr>
        <w:t xml:space="preserve">  </w:t>
      </w:r>
      <w:r>
        <w:rPr>
          <w:rFonts w:hint="eastAsia" w:ascii="宋体" w:hAnsi="宋体"/>
          <w:b/>
          <w:color w:val="auto"/>
          <w:sz w:val="24"/>
          <w:u w:val="single"/>
        </w:rPr>
        <w:t>日］（北京时间）</w:t>
      </w:r>
      <w:bookmarkEnd w:id="16"/>
      <w:bookmarkEnd w:id="17"/>
    </w:p>
    <w:p w14:paraId="272F36CA">
      <w:pPr>
        <w:adjustRightInd w:val="0"/>
        <w:snapToGrid w:val="0"/>
        <w:spacing w:line="360" w:lineRule="auto"/>
        <w:ind w:firstLine="843" w:firstLineChars="350"/>
        <w:rPr>
          <w:rFonts w:hint="eastAsia" w:ascii="宋体" w:hAnsi="宋体"/>
          <w:b/>
          <w:color w:val="auto"/>
          <w:sz w:val="24"/>
          <w:u w:val="single"/>
        </w:rPr>
      </w:pPr>
      <w:r>
        <w:rPr>
          <w:rFonts w:hint="eastAsia" w:ascii="宋体" w:hAnsi="宋体"/>
          <w:b/>
          <w:color w:val="auto"/>
          <w:sz w:val="24"/>
        </w:rPr>
        <w:t>磋商地点：</w:t>
      </w:r>
      <w:r>
        <w:rPr>
          <w:rFonts w:hint="eastAsia" w:ascii="宋体" w:hAnsi="宋体"/>
          <w:b/>
          <w:color w:val="auto"/>
          <w:sz w:val="24"/>
          <w:u w:val="single"/>
        </w:rPr>
        <w:t>福建立勤项目管理有限公司（福州市鼓楼区工业路523号福大怡山文化创意园北区3号楼101指定地点）</w:t>
      </w:r>
    </w:p>
    <w:p w14:paraId="6690EF17">
      <w:pPr>
        <w:adjustRightInd w:val="0"/>
        <w:snapToGrid w:val="0"/>
        <w:spacing w:line="360" w:lineRule="auto"/>
        <w:ind w:firstLine="240" w:firstLineChars="100"/>
        <w:rPr>
          <w:rFonts w:hint="eastAsia" w:ascii="宋体" w:hAnsi="宋体"/>
          <w:color w:val="auto"/>
          <w:sz w:val="24"/>
        </w:rPr>
      </w:pPr>
      <w:r>
        <w:rPr>
          <w:rFonts w:hint="eastAsia" w:ascii="宋体" w:hAnsi="宋体"/>
          <w:color w:val="auto"/>
          <w:sz w:val="24"/>
        </w:rPr>
        <w:t>7、有关本项目的相关信息(包括磋商文件若有修改、补充)，代理机构将通过以下媒介发布通知，请潜在供应商随时关注相关网站，以免错漏重要信息。</w:t>
      </w:r>
    </w:p>
    <w:p w14:paraId="2FBE2BE3">
      <w:pPr>
        <w:pStyle w:val="39"/>
        <w:ind w:firstLine="480" w:firstLineChars="200"/>
        <w:rPr>
          <w:rFonts w:hint="eastAsia" w:ascii="宋体" w:hAnsi="宋体"/>
          <w:bCs/>
          <w:color w:val="auto"/>
          <w:sz w:val="24"/>
        </w:rPr>
      </w:pPr>
      <w:r>
        <w:rPr>
          <w:rFonts w:hint="eastAsia" w:ascii="宋体" w:hAnsi="宋体"/>
          <w:bCs/>
          <w:color w:val="auto"/>
          <w:sz w:val="24"/>
        </w:rPr>
        <w:t>（1）中国招标投标公共服务平台（https://bulletin.cebpubservice.com/）</w:t>
      </w:r>
    </w:p>
    <w:p w14:paraId="2DD0BDF4">
      <w:pPr>
        <w:pStyle w:val="39"/>
        <w:spacing w:line="360" w:lineRule="auto"/>
        <w:ind w:firstLine="480" w:firstLineChars="200"/>
        <w:rPr>
          <w:rFonts w:hint="eastAsia" w:ascii="宋体" w:hAnsi="宋体" w:eastAsiaTheme="minorEastAsia" w:cstheme="minorBidi"/>
          <w:color w:val="auto"/>
          <w:kern w:val="2"/>
          <w:sz w:val="24"/>
          <w:szCs w:val="24"/>
          <w:lang w:val="en-US" w:eastAsia="zh-CN" w:bidi="ar-SA"/>
        </w:rPr>
      </w:pPr>
      <w:r>
        <w:rPr>
          <w:rFonts w:hint="eastAsia" w:ascii="宋体" w:hAnsi="宋体" w:eastAsiaTheme="minorEastAsia" w:cstheme="minorBidi"/>
          <w:color w:val="auto"/>
          <w:kern w:val="2"/>
          <w:sz w:val="24"/>
          <w:szCs w:val="24"/>
          <w:lang w:val="en-US" w:eastAsia="zh-CN" w:bidi="ar-SA"/>
        </w:rPr>
        <w:t>（2）福建省国资采购平台（https://ygcg.fjcqjy.com）</w:t>
      </w:r>
    </w:p>
    <w:p w14:paraId="1CFBFE6B">
      <w:pPr>
        <w:pStyle w:val="39"/>
        <w:spacing w:line="360" w:lineRule="auto"/>
        <w:ind w:firstLine="480" w:firstLineChars="200"/>
        <w:rPr>
          <w:rFonts w:hint="eastAsia" w:ascii="宋体" w:hAnsi="宋体" w:eastAsiaTheme="minorEastAsia" w:cstheme="minorBidi"/>
          <w:color w:val="auto"/>
          <w:kern w:val="2"/>
          <w:sz w:val="24"/>
          <w:szCs w:val="24"/>
          <w:lang w:val="en-US" w:eastAsia="zh-CN" w:bidi="ar-SA"/>
        </w:rPr>
      </w:pPr>
      <w:r>
        <w:rPr>
          <w:rFonts w:hint="eastAsia" w:ascii="宋体" w:hAnsi="宋体" w:eastAsiaTheme="minorEastAsia" w:cstheme="minorBidi"/>
          <w:color w:val="auto"/>
          <w:kern w:val="2"/>
          <w:sz w:val="24"/>
          <w:szCs w:val="24"/>
          <w:lang w:val="en-US" w:eastAsia="zh-CN" w:bidi="ar-SA"/>
        </w:rPr>
        <w:t>（3）福建立勤项目管理有限公司（</w:t>
      </w:r>
      <w:r>
        <w:rPr>
          <w:rFonts w:hint="eastAsia" w:ascii="宋体" w:hAnsi="宋体" w:eastAsiaTheme="minorEastAsia" w:cstheme="minorBidi"/>
          <w:color w:val="auto"/>
          <w:kern w:val="2"/>
          <w:sz w:val="24"/>
          <w:szCs w:val="24"/>
          <w:lang w:val="en-US" w:eastAsia="zh-CN" w:bidi="ar-SA"/>
        </w:rPr>
        <w:fldChar w:fldCharType="begin"/>
      </w:r>
      <w:r>
        <w:rPr>
          <w:rFonts w:hint="eastAsia" w:ascii="宋体" w:hAnsi="宋体" w:eastAsiaTheme="minorEastAsia" w:cstheme="minorBidi"/>
          <w:color w:val="auto"/>
          <w:kern w:val="2"/>
          <w:sz w:val="24"/>
          <w:szCs w:val="24"/>
          <w:lang w:val="en-US" w:eastAsia="zh-CN" w:bidi="ar-SA"/>
        </w:rPr>
        <w:instrText xml:space="preserve"> HYPERLINK "http://www.fjlqzb.com" </w:instrText>
      </w:r>
      <w:r>
        <w:rPr>
          <w:rFonts w:hint="eastAsia" w:ascii="宋体" w:hAnsi="宋体" w:eastAsiaTheme="minorEastAsia" w:cstheme="minorBidi"/>
          <w:color w:val="auto"/>
          <w:kern w:val="2"/>
          <w:sz w:val="24"/>
          <w:szCs w:val="24"/>
          <w:lang w:val="en-US" w:eastAsia="zh-CN" w:bidi="ar-SA"/>
        </w:rPr>
        <w:fldChar w:fldCharType="separate"/>
      </w:r>
      <w:r>
        <w:rPr>
          <w:rFonts w:hint="eastAsia" w:ascii="宋体" w:hAnsi="宋体" w:eastAsiaTheme="minorEastAsia" w:cstheme="minorBidi"/>
          <w:color w:val="auto"/>
          <w:kern w:val="2"/>
          <w:sz w:val="24"/>
          <w:szCs w:val="24"/>
          <w:lang w:val="en-US" w:eastAsia="zh-CN" w:bidi="ar-SA"/>
        </w:rPr>
        <w:t>http://www.fjlqzb.com</w:t>
      </w:r>
      <w:r>
        <w:rPr>
          <w:rFonts w:hint="eastAsia" w:ascii="宋体" w:hAnsi="宋体" w:eastAsiaTheme="minorEastAsia" w:cstheme="minorBidi"/>
          <w:color w:val="auto"/>
          <w:kern w:val="2"/>
          <w:sz w:val="24"/>
          <w:szCs w:val="24"/>
          <w:lang w:val="en-US" w:eastAsia="zh-CN" w:bidi="ar-SA"/>
        </w:rPr>
        <w:fldChar w:fldCharType="end"/>
      </w:r>
      <w:r>
        <w:rPr>
          <w:rFonts w:hint="eastAsia" w:ascii="宋体" w:hAnsi="宋体" w:eastAsiaTheme="minorEastAsia" w:cstheme="minorBidi"/>
          <w:color w:val="auto"/>
          <w:kern w:val="2"/>
          <w:sz w:val="24"/>
          <w:szCs w:val="24"/>
          <w:lang w:val="en-US" w:eastAsia="zh-CN" w:bidi="ar-SA"/>
        </w:rPr>
        <w:t>）</w:t>
      </w:r>
      <w:bookmarkStart w:id="18" w:name="_Toc161736608"/>
      <w:bookmarkStart w:id="19" w:name="_Toc484761873"/>
      <w:bookmarkStart w:id="20" w:name="_Toc15320"/>
      <w:bookmarkStart w:id="21" w:name="_Toc484761165"/>
    </w:p>
    <w:bookmarkEnd w:id="18"/>
    <w:bookmarkEnd w:id="19"/>
    <w:bookmarkEnd w:id="20"/>
    <w:bookmarkEnd w:id="21"/>
    <w:p w14:paraId="080323D5">
      <w:pPr>
        <w:pStyle w:val="48"/>
        <w:adjustRightInd w:val="0"/>
        <w:snapToGrid w:val="0"/>
        <w:spacing w:line="360" w:lineRule="auto"/>
        <w:outlineLvl w:val="2"/>
        <w:rPr>
          <w:rFonts w:hint="eastAsia" w:ascii="宋体" w:hAnsi="宋体" w:eastAsia="宋体" w:cs="宋体"/>
          <w:color w:val="auto"/>
          <w:sz w:val="24"/>
          <w:szCs w:val="24"/>
          <w:lang w:eastAsia="zh-CN"/>
        </w:rPr>
      </w:pPr>
      <w:bookmarkStart w:id="22" w:name="_Toc24063"/>
      <w:bookmarkStart w:id="23" w:name="_Toc484761166"/>
      <w:bookmarkStart w:id="24" w:name="_Toc484761874"/>
      <w:bookmarkStart w:id="25" w:name="_Toc17100"/>
      <w:bookmarkStart w:id="26" w:name="_Toc440642073"/>
      <w:bookmarkStart w:id="27" w:name="_Toc161736609"/>
      <w:r>
        <w:rPr>
          <w:rFonts w:hint="eastAsia" w:ascii="宋体" w:hAnsi="宋体" w:eastAsia="宋体" w:cs="宋体"/>
          <w:b/>
          <w:color w:val="auto"/>
          <w:sz w:val="24"/>
          <w:szCs w:val="24"/>
          <w:lang w:val="en-US" w:eastAsia="zh-CN"/>
        </w:rPr>
        <w:t>8</w:t>
      </w:r>
      <w:r>
        <w:rPr>
          <w:rFonts w:ascii="宋体" w:hAnsi="宋体" w:eastAsia="宋体" w:cs="宋体"/>
          <w:b/>
          <w:color w:val="auto"/>
          <w:sz w:val="24"/>
          <w:szCs w:val="24"/>
        </w:rPr>
        <w:t>、采购人：</w:t>
      </w:r>
      <w:r>
        <w:rPr>
          <w:rFonts w:hint="eastAsia" w:ascii="宋体" w:hAnsi="宋体" w:eastAsia="宋体" w:cs="宋体"/>
          <w:b/>
          <w:color w:val="auto"/>
          <w:sz w:val="24"/>
          <w:szCs w:val="24"/>
          <w:lang w:eastAsia="zh-CN"/>
        </w:rPr>
        <w:t>福建省楚源服饰有限责任公司</w:t>
      </w:r>
      <w:bookmarkEnd w:id="22"/>
    </w:p>
    <w:p w14:paraId="46916B79">
      <w:pPr>
        <w:pStyle w:val="48"/>
        <w:adjustRightInd w:val="0"/>
        <w:snapToGrid w:val="0"/>
        <w:spacing w:line="360" w:lineRule="auto"/>
        <w:ind w:firstLine="480" w:firstLineChars="200"/>
        <w:jc w:val="both"/>
        <w:rPr>
          <w:rFonts w:hint="default" w:ascii="宋体" w:hAnsi="宋体"/>
          <w:color w:val="auto"/>
          <w:sz w:val="24"/>
          <w:szCs w:val="24"/>
        </w:rPr>
      </w:pPr>
      <w:r>
        <w:rPr>
          <w:rFonts w:ascii="宋体" w:hAnsi="宋体"/>
          <w:color w:val="auto"/>
          <w:sz w:val="24"/>
          <w:szCs w:val="24"/>
        </w:rPr>
        <w:t>地址：</w:t>
      </w:r>
      <w:r>
        <w:rPr>
          <w:rFonts w:hint="eastAsia" w:ascii="宋体" w:hAnsi="宋体" w:cs="宋体"/>
          <w:bCs/>
          <w:color w:val="auto"/>
          <w:sz w:val="24"/>
          <w:highlight w:val="none"/>
        </w:rPr>
        <w:t>福州市闽侯县南屿镇窗厦村悬钟山1号</w:t>
      </w:r>
    </w:p>
    <w:p w14:paraId="3BE414D4">
      <w:pPr>
        <w:pStyle w:val="48"/>
        <w:adjustRightInd w:val="0"/>
        <w:snapToGrid w:val="0"/>
        <w:spacing w:line="360" w:lineRule="auto"/>
        <w:ind w:firstLine="480" w:firstLineChars="200"/>
        <w:jc w:val="both"/>
        <w:rPr>
          <w:rFonts w:hint="default" w:ascii="宋体" w:hAnsi="宋体"/>
          <w:color w:val="auto"/>
          <w:sz w:val="24"/>
          <w:szCs w:val="24"/>
        </w:rPr>
      </w:pPr>
      <w:r>
        <w:rPr>
          <w:rFonts w:ascii="宋体" w:hAnsi="宋体"/>
          <w:color w:val="auto"/>
          <w:sz w:val="24"/>
          <w:szCs w:val="24"/>
        </w:rPr>
        <w:t>联系人：</w:t>
      </w:r>
      <w:r>
        <w:rPr>
          <w:rFonts w:hint="eastAsia" w:ascii="宋体" w:hAnsi="宋体" w:cs="宋体"/>
          <w:bCs/>
          <w:color w:val="auto"/>
          <w:sz w:val="24"/>
          <w:highlight w:val="none"/>
        </w:rPr>
        <w:t>滕先生</w:t>
      </w:r>
      <w:r>
        <w:rPr>
          <w:rFonts w:ascii="宋体" w:hAnsi="宋体"/>
          <w:color w:val="auto"/>
          <w:sz w:val="24"/>
          <w:szCs w:val="24"/>
        </w:rPr>
        <w:t xml:space="preserve">                 </w:t>
      </w:r>
    </w:p>
    <w:p w14:paraId="60DB8138">
      <w:pPr>
        <w:pStyle w:val="2"/>
        <w:adjustRightInd w:val="0"/>
        <w:snapToGrid w:val="0"/>
        <w:spacing w:line="360" w:lineRule="auto"/>
        <w:ind w:firstLine="480" w:firstLineChars="200"/>
        <w:rPr>
          <w:rFonts w:ascii="宋体" w:hAnsi="宋体"/>
          <w:color w:val="auto"/>
          <w:sz w:val="24"/>
          <w:szCs w:val="24"/>
        </w:rPr>
      </w:pPr>
      <w:bookmarkStart w:id="28" w:name="_Toc14916"/>
      <w:r>
        <w:rPr>
          <w:rFonts w:hint="eastAsia" w:ascii="宋体" w:hAnsi="宋体" w:eastAsiaTheme="minorEastAsia" w:cstheme="minorBidi"/>
          <w:b w:val="0"/>
          <w:bCs w:val="0"/>
          <w:color w:val="auto"/>
          <w:sz w:val="24"/>
          <w:szCs w:val="24"/>
          <w:lang w:val="en-US" w:eastAsia="zh-CN" w:bidi="ar-SA"/>
        </w:rPr>
        <w:t>联系电话：0591-22815589</w:t>
      </w:r>
      <w:bookmarkEnd w:id="28"/>
      <w:r>
        <w:rPr>
          <w:rFonts w:ascii="宋体" w:hAnsi="宋体"/>
          <w:color w:val="auto"/>
          <w:sz w:val="24"/>
          <w:szCs w:val="24"/>
        </w:rPr>
        <w:t xml:space="preserve"> </w:t>
      </w:r>
    </w:p>
    <w:p w14:paraId="0F5E88BD">
      <w:pPr>
        <w:pStyle w:val="2"/>
        <w:adjustRightInd w:val="0"/>
        <w:snapToGrid w:val="0"/>
        <w:spacing w:line="360" w:lineRule="auto"/>
        <w:rPr>
          <w:rFonts w:ascii="宋体" w:hAnsi="宋体"/>
          <w:color w:val="auto"/>
          <w:sz w:val="24"/>
          <w:szCs w:val="24"/>
        </w:rPr>
      </w:pPr>
      <w:bookmarkStart w:id="29" w:name="_Toc17449"/>
      <w:r>
        <w:rPr>
          <w:rFonts w:hint="eastAsia" w:ascii="宋体" w:hAnsi="宋体"/>
          <w:color w:val="auto"/>
          <w:sz w:val="24"/>
          <w:szCs w:val="24"/>
        </w:rPr>
        <w:t>9、代理机构联系方式</w:t>
      </w:r>
      <w:bookmarkEnd w:id="23"/>
      <w:bookmarkEnd w:id="24"/>
      <w:bookmarkEnd w:id="25"/>
      <w:bookmarkEnd w:id="26"/>
      <w:bookmarkEnd w:id="27"/>
      <w:bookmarkEnd w:id="29"/>
    </w:p>
    <w:p w14:paraId="0658861C">
      <w:pPr>
        <w:spacing w:line="360" w:lineRule="auto"/>
        <w:ind w:firstLine="360" w:firstLineChars="150"/>
        <w:jc w:val="left"/>
        <w:rPr>
          <w:rFonts w:hint="eastAsia" w:ascii="宋体" w:hAnsi="宋体"/>
          <w:color w:val="auto"/>
          <w:sz w:val="24"/>
        </w:rPr>
      </w:pPr>
      <w:r>
        <w:rPr>
          <w:rFonts w:hint="eastAsia" w:ascii="宋体" w:hAnsi="宋体"/>
          <w:color w:val="auto"/>
          <w:sz w:val="24"/>
        </w:rPr>
        <w:t>代理机构：福建立勤项目管理有限公司</w:t>
      </w:r>
    </w:p>
    <w:p w14:paraId="7A71825D">
      <w:pPr>
        <w:spacing w:line="360" w:lineRule="auto"/>
        <w:ind w:firstLine="360" w:firstLineChars="150"/>
        <w:jc w:val="left"/>
        <w:rPr>
          <w:rFonts w:hint="eastAsia" w:ascii="宋体" w:hAnsi="宋体"/>
          <w:color w:val="auto"/>
          <w:sz w:val="24"/>
        </w:rPr>
      </w:pPr>
      <w:r>
        <w:rPr>
          <w:rFonts w:hint="eastAsia" w:ascii="宋体" w:hAnsi="宋体"/>
          <w:color w:val="auto"/>
          <w:sz w:val="24"/>
        </w:rPr>
        <w:t>地  址：福州市鼓楼区工业路523号福大怡山文化创意园北区3号楼101二层</w:t>
      </w:r>
    </w:p>
    <w:p w14:paraId="038B605E">
      <w:pPr>
        <w:spacing w:line="360" w:lineRule="auto"/>
        <w:ind w:firstLine="360" w:firstLineChars="150"/>
        <w:jc w:val="left"/>
        <w:rPr>
          <w:rFonts w:hint="default" w:ascii="宋体" w:hAnsi="宋体" w:eastAsiaTheme="minorEastAsia"/>
          <w:color w:val="auto"/>
          <w:sz w:val="24"/>
          <w:lang w:val="en-US" w:eastAsia="zh-CN"/>
        </w:rPr>
      </w:pPr>
      <w:r>
        <w:rPr>
          <w:rFonts w:hint="eastAsia" w:ascii="宋体" w:hAnsi="宋体" w:cs="宋体"/>
          <w:color w:val="auto"/>
          <w:sz w:val="24"/>
        </w:rPr>
        <w:t>项目负责人：</w:t>
      </w:r>
      <w:r>
        <w:rPr>
          <w:rFonts w:hint="eastAsia" w:ascii="宋体" w:hAnsi="宋体" w:eastAsia="宋体" w:cs="Times New Roman"/>
          <w:color w:val="auto"/>
          <w:sz w:val="24"/>
          <w:lang w:val="en-US" w:eastAsia="zh-CN"/>
        </w:rPr>
        <w:t>徐朕、曾佳、钱文星</w:t>
      </w:r>
    </w:p>
    <w:p w14:paraId="16F25651">
      <w:pPr>
        <w:spacing w:line="360" w:lineRule="auto"/>
        <w:ind w:firstLine="360" w:firstLineChars="150"/>
        <w:jc w:val="left"/>
        <w:rPr>
          <w:rFonts w:hint="eastAsia" w:ascii="宋体" w:hAnsi="宋体" w:eastAsia="宋体"/>
          <w:color w:val="auto"/>
          <w:sz w:val="24"/>
        </w:rPr>
      </w:pPr>
      <w:r>
        <w:rPr>
          <w:rFonts w:hint="eastAsia" w:ascii="宋体" w:hAnsi="宋体"/>
          <w:color w:val="auto"/>
          <w:sz w:val="24"/>
        </w:rPr>
        <w:t>联系电话：0591-63</w:t>
      </w:r>
      <w:r>
        <w:rPr>
          <w:rFonts w:hint="eastAsia" w:ascii="宋体" w:hAnsi="宋体"/>
          <w:color w:val="auto"/>
          <w:sz w:val="24"/>
          <w:lang w:val="en-US" w:eastAsia="zh-CN"/>
        </w:rPr>
        <w:t>037665</w:t>
      </w:r>
    </w:p>
    <w:p w14:paraId="64CA5EC5">
      <w:pPr>
        <w:adjustRightInd w:val="0"/>
        <w:snapToGrid w:val="0"/>
        <w:spacing w:line="360" w:lineRule="auto"/>
        <w:jc w:val="left"/>
        <w:outlineLvl w:val="1"/>
        <w:rPr>
          <w:rFonts w:hint="eastAsia" w:ascii="宋体" w:hAnsi="宋体"/>
          <w:b/>
          <w:color w:val="auto"/>
          <w:sz w:val="24"/>
        </w:rPr>
      </w:pPr>
      <w:bookmarkStart w:id="30" w:name="_Toc12751"/>
      <w:bookmarkStart w:id="31" w:name="_Toc27953"/>
      <w:r>
        <w:rPr>
          <w:rFonts w:hint="eastAsia" w:ascii="宋体" w:hAnsi="宋体"/>
          <w:b/>
          <w:color w:val="auto"/>
          <w:sz w:val="24"/>
        </w:rPr>
        <w:t>10、获取磋商文件、递交磋商保证金及缴纳代理服务费账户：</w:t>
      </w:r>
      <w:bookmarkEnd w:id="30"/>
      <w:bookmarkEnd w:id="31"/>
    </w:p>
    <w:p w14:paraId="7F27A022">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 xml:space="preserve">开户名：福建立勤项目管理有限公司   </w:t>
      </w:r>
    </w:p>
    <w:p w14:paraId="6B4D72A8">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 xml:space="preserve">开户行：招商银行福州鼓楼支行  </w:t>
      </w:r>
    </w:p>
    <w:p w14:paraId="48AF5C72">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 xml:space="preserve">账  号：5919 1063 8210 001    </w:t>
      </w:r>
    </w:p>
    <w:p w14:paraId="53209BD6">
      <w:pPr>
        <w:pStyle w:val="26"/>
        <w:widowControl/>
        <w:spacing w:before="75" w:beforeAutospacing="0" w:after="75" w:afterAutospacing="0"/>
        <w:jc w:val="center"/>
        <w:outlineLvl w:val="9"/>
        <w:rPr>
          <w:rFonts w:hint="eastAsia" w:asciiTheme="minorEastAsia" w:hAnsiTheme="minorEastAsia" w:cstheme="minorEastAsia"/>
          <w:color w:val="auto"/>
        </w:rPr>
      </w:pPr>
      <w:bookmarkStart w:id="32" w:name="_Toc2149"/>
    </w:p>
    <w:p w14:paraId="0D8FC13D">
      <w:pPr>
        <w:pStyle w:val="26"/>
        <w:widowControl/>
        <w:spacing w:before="75" w:beforeAutospacing="0" w:after="75" w:afterAutospacing="0"/>
        <w:jc w:val="center"/>
        <w:outlineLvl w:val="9"/>
        <w:rPr>
          <w:rFonts w:hint="eastAsia" w:asciiTheme="minorEastAsia" w:hAnsiTheme="minorEastAsia" w:cstheme="minorEastAsia"/>
          <w:color w:val="auto"/>
        </w:rPr>
      </w:pPr>
    </w:p>
    <w:p w14:paraId="23043779">
      <w:pPr>
        <w:pStyle w:val="26"/>
        <w:widowControl/>
        <w:spacing w:before="75" w:beforeAutospacing="0" w:after="75" w:afterAutospacing="0"/>
        <w:jc w:val="center"/>
        <w:outlineLvl w:val="9"/>
        <w:rPr>
          <w:rFonts w:hint="eastAsia" w:asciiTheme="minorEastAsia" w:hAnsiTheme="minorEastAsia" w:cstheme="minorEastAsia"/>
          <w:color w:val="auto"/>
        </w:rPr>
      </w:pPr>
    </w:p>
    <w:p w14:paraId="205178FB">
      <w:pPr>
        <w:pStyle w:val="26"/>
        <w:widowControl/>
        <w:spacing w:before="75" w:beforeAutospacing="0" w:after="75" w:afterAutospacing="0"/>
        <w:jc w:val="center"/>
        <w:outlineLvl w:val="9"/>
        <w:rPr>
          <w:rFonts w:hint="eastAsia" w:asciiTheme="minorEastAsia" w:hAnsiTheme="minorEastAsia" w:cstheme="minorEastAsia"/>
          <w:color w:val="auto"/>
        </w:rPr>
      </w:pPr>
    </w:p>
    <w:p w14:paraId="5D6B12BA">
      <w:pPr>
        <w:pStyle w:val="26"/>
        <w:widowControl/>
        <w:spacing w:before="75" w:beforeAutospacing="0" w:after="75" w:afterAutospacing="0"/>
        <w:jc w:val="center"/>
        <w:outlineLvl w:val="9"/>
        <w:rPr>
          <w:rFonts w:hint="eastAsia" w:asciiTheme="minorEastAsia" w:hAnsiTheme="minorEastAsia" w:cstheme="minorEastAsia"/>
          <w:color w:val="auto"/>
        </w:rPr>
      </w:pPr>
    </w:p>
    <w:p w14:paraId="518F7781">
      <w:pPr>
        <w:pStyle w:val="26"/>
        <w:widowControl/>
        <w:spacing w:before="75" w:beforeAutospacing="0" w:after="75" w:afterAutospacing="0"/>
        <w:jc w:val="center"/>
        <w:outlineLvl w:val="9"/>
        <w:rPr>
          <w:rFonts w:hint="eastAsia" w:asciiTheme="minorEastAsia" w:hAnsiTheme="minorEastAsia" w:cstheme="minorEastAsia"/>
          <w:color w:val="auto"/>
        </w:rPr>
      </w:pPr>
    </w:p>
    <w:p w14:paraId="5C612280">
      <w:pPr>
        <w:pStyle w:val="26"/>
        <w:widowControl/>
        <w:spacing w:before="75" w:beforeAutospacing="0" w:after="75" w:afterAutospacing="0"/>
        <w:jc w:val="center"/>
        <w:outlineLvl w:val="9"/>
        <w:rPr>
          <w:rFonts w:hint="eastAsia" w:asciiTheme="minorEastAsia" w:hAnsiTheme="minorEastAsia" w:cstheme="minorEastAsia"/>
          <w:color w:val="auto"/>
        </w:rPr>
      </w:pPr>
    </w:p>
    <w:p w14:paraId="7FCDE901">
      <w:pPr>
        <w:pStyle w:val="26"/>
        <w:widowControl/>
        <w:spacing w:before="75" w:beforeAutospacing="0" w:after="75" w:afterAutospacing="0"/>
        <w:jc w:val="center"/>
        <w:outlineLvl w:val="9"/>
        <w:rPr>
          <w:rFonts w:hint="eastAsia" w:asciiTheme="minorEastAsia" w:hAnsiTheme="minorEastAsia" w:cstheme="minorEastAsia"/>
          <w:color w:val="auto"/>
        </w:rPr>
      </w:pPr>
    </w:p>
    <w:p w14:paraId="3552D960">
      <w:pPr>
        <w:pStyle w:val="26"/>
        <w:widowControl/>
        <w:spacing w:before="75" w:beforeAutospacing="0" w:after="75" w:afterAutospacing="0"/>
        <w:jc w:val="center"/>
        <w:outlineLvl w:val="9"/>
        <w:rPr>
          <w:rFonts w:hint="eastAsia" w:asciiTheme="minorEastAsia" w:hAnsiTheme="minorEastAsia" w:cstheme="minorEastAsia"/>
          <w:color w:val="auto"/>
        </w:rPr>
      </w:pPr>
    </w:p>
    <w:p w14:paraId="53F2854D">
      <w:pPr>
        <w:pStyle w:val="26"/>
        <w:widowControl/>
        <w:spacing w:before="75" w:beforeAutospacing="0" w:after="75" w:afterAutospacing="0"/>
        <w:jc w:val="center"/>
        <w:outlineLvl w:val="9"/>
        <w:rPr>
          <w:rFonts w:hint="eastAsia" w:asciiTheme="minorEastAsia" w:hAnsiTheme="minorEastAsia" w:cstheme="minorEastAsia"/>
          <w:color w:val="auto"/>
        </w:rPr>
      </w:pPr>
    </w:p>
    <w:p w14:paraId="4CE12A29">
      <w:pPr>
        <w:pStyle w:val="26"/>
        <w:widowControl/>
        <w:spacing w:before="75" w:beforeAutospacing="0" w:after="75" w:afterAutospacing="0"/>
        <w:jc w:val="center"/>
        <w:outlineLvl w:val="9"/>
        <w:rPr>
          <w:rFonts w:hint="eastAsia" w:asciiTheme="minorEastAsia" w:hAnsiTheme="minorEastAsia" w:cstheme="minorEastAsia"/>
          <w:color w:val="auto"/>
        </w:rPr>
      </w:pPr>
    </w:p>
    <w:p w14:paraId="28C40791">
      <w:pPr>
        <w:pStyle w:val="26"/>
        <w:widowControl/>
        <w:spacing w:before="75" w:beforeAutospacing="0" w:after="75" w:afterAutospacing="0"/>
        <w:jc w:val="center"/>
        <w:outlineLvl w:val="9"/>
        <w:rPr>
          <w:rFonts w:hint="eastAsia" w:asciiTheme="minorEastAsia" w:hAnsiTheme="minorEastAsia" w:cstheme="minorEastAsia"/>
          <w:color w:val="auto"/>
        </w:rPr>
      </w:pPr>
    </w:p>
    <w:p w14:paraId="240E0C6D">
      <w:pPr>
        <w:pStyle w:val="26"/>
        <w:widowControl/>
        <w:spacing w:before="75" w:beforeAutospacing="0" w:after="75" w:afterAutospacing="0"/>
        <w:jc w:val="center"/>
        <w:outlineLvl w:val="9"/>
        <w:rPr>
          <w:rFonts w:hint="eastAsia" w:asciiTheme="minorEastAsia" w:hAnsiTheme="minorEastAsia" w:cstheme="minorEastAsia"/>
          <w:color w:val="auto"/>
        </w:rPr>
      </w:pPr>
    </w:p>
    <w:p w14:paraId="38AC60F6">
      <w:pPr>
        <w:pStyle w:val="26"/>
        <w:widowControl/>
        <w:spacing w:before="75" w:beforeAutospacing="0" w:after="75" w:afterAutospacing="0"/>
        <w:jc w:val="center"/>
        <w:outlineLvl w:val="9"/>
        <w:rPr>
          <w:rFonts w:hint="eastAsia" w:asciiTheme="minorEastAsia" w:hAnsiTheme="minorEastAsia" w:cstheme="minorEastAsia"/>
          <w:color w:val="auto"/>
        </w:rPr>
      </w:pPr>
    </w:p>
    <w:p w14:paraId="38F8CA5F">
      <w:pPr>
        <w:pStyle w:val="26"/>
        <w:widowControl/>
        <w:spacing w:before="75" w:beforeAutospacing="0" w:after="75" w:afterAutospacing="0"/>
        <w:jc w:val="center"/>
        <w:outlineLvl w:val="9"/>
        <w:rPr>
          <w:rFonts w:hint="eastAsia" w:asciiTheme="minorEastAsia" w:hAnsiTheme="minorEastAsia" w:cstheme="minorEastAsia"/>
          <w:color w:val="auto"/>
        </w:rPr>
      </w:pPr>
    </w:p>
    <w:p w14:paraId="40EDDE93">
      <w:pPr>
        <w:pStyle w:val="26"/>
        <w:widowControl/>
        <w:spacing w:before="75" w:beforeAutospacing="0" w:after="75" w:afterAutospacing="0"/>
        <w:jc w:val="center"/>
        <w:outlineLvl w:val="9"/>
        <w:rPr>
          <w:rFonts w:hint="eastAsia" w:asciiTheme="minorEastAsia" w:hAnsiTheme="minorEastAsia" w:cstheme="minorEastAsia"/>
          <w:color w:val="auto"/>
        </w:rPr>
      </w:pPr>
    </w:p>
    <w:p w14:paraId="0AF22FA3">
      <w:pPr>
        <w:pStyle w:val="26"/>
        <w:widowControl/>
        <w:spacing w:before="75" w:beforeAutospacing="0" w:after="75" w:afterAutospacing="0"/>
        <w:jc w:val="center"/>
        <w:outlineLvl w:val="9"/>
        <w:rPr>
          <w:rFonts w:hint="eastAsia" w:asciiTheme="minorEastAsia" w:hAnsiTheme="minorEastAsia" w:cstheme="minorEastAsia"/>
          <w:color w:val="auto"/>
        </w:rPr>
      </w:pPr>
    </w:p>
    <w:p w14:paraId="4DA9AAD2">
      <w:pPr>
        <w:pStyle w:val="26"/>
        <w:widowControl/>
        <w:spacing w:before="75" w:beforeAutospacing="0" w:after="75" w:afterAutospacing="0"/>
        <w:jc w:val="center"/>
        <w:outlineLvl w:val="9"/>
        <w:rPr>
          <w:rFonts w:hint="eastAsia" w:asciiTheme="minorEastAsia" w:hAnsiTheme="minorEastAsia" w:cstheme="minorEastAsia"/>
          <w:color w:val="auto"/>
        </w:rPr>
      </w:pPr>
    </w:p>
    <w:p w14:paraId="69435CD8">
      <w:pPr>
        <w:pStyle w:val="26"/>
        <w:widowControl/>
        <w:spacing w:before="75" w:beforeAutospacing="0" w:after="75" w:afterAutospacing="0"/>
        <w:jc w:val="center"/>
        <w:outlineLvl w:val="9"/>
        <w:rPr>
          <w:rFonts w:hint="eastAsia" w:asciiTheme="minorEastAsia" w:hAnsiTheme="minorEastAsia" w:cstheme="minorEastAsia"/>
          <w:color w:val="auto"/>
        </w:rPr>
      </w:pPr>
    </w:p>
    <w:p w14:paraId="1B9E8C62">
      <w:pPr>
        <w:pStyle w:val="2"/>
        <w:spacing w:line="360" w:lineRule="auto"/>
        <w:jc w:val="center"/>
        <w:rPr>
          <w:color w:val="auto"/>
          <w:szCs w:val="30"/>
          <w:shd w:val="pct10" w:color="auto" w:fill="FFFFFF"/>
        </w:rPr>
      </w:pPr>
      <w:bookmarkStart w:id="33" w:name="_Toc20618"/>
      <w:bookmarkStart w:id="34" w:name="_Toc29747"/>
      <w:r>
        <w:rPr>
          <w:rFonts w:hint="eastAsia"/>
          <w:color w:val="auto"/>
          <w:szCs w:val="30"/>
          <w:shd w:val="pct10" w:color="auto" w:fill="FFFFFF"/>
        </w:rPr>
        <w:t>供应商应知</w:t>
      </w:r>
      <w:bookmarkEnd w:id="33"/>
      <w:bookmarkEnd w:id="34"/>
    </w:p>
    <w:p w14:paraId="1879745D">
      <w:pPr>
        <w:pStyle w:val="6"/>
        <w:rPr>
          <w:color w:val="auto"/>
        </w:rPr>
      </w:pPr>
    </w:p>
    <w:p w14:paraId="4395F22D">
      <w:pPr>
        <w:pStyle w:val="52"/>
        <w:ind w:firstLine="0" w:firstLineChars="0"/>
        <w:outlineLvl w:val="1"/>
        <w:rPr>
          <w:rFonts w:hint="eastAsia" w:ascii="宋体" w:hAnsi="宋体"/>
          <w:b/>
          <w:color w:val="auto"/>
          <w:sz w:val="24"/>
          <w:szCs w:val="24"/>
        </w:rPr>
      </w:pPr>
      <w:bookmarkStart w:id="35" w:name="_Toc16590"/>
      <w:bookmarkStart w:id="36" w:name="_Toc24645"/>
      <w:r>
        <w:rPr>
          <w:rFonts w:hint="eastAsia" w:ascii="宋体" w:hAnsi="宋体"/>
          <w:b/>
          <w:bCs/>
          <w:color w:val="auto"/>
          <w:sz w:val="24"/>
          <w:szCs w:val="24"/>
        </w:rPr>
        <w:t>1、开具发票事宜：</w:t>
      </w:r>
      <w:bookmarkEnd w:id="35"/>
      <w:bookmarkEnd w:id="36"/>
    </w:p>
    <w:p w14:paraId="44A9F06E">
      <w:pPr>
        <w:spacing w:line="360" w:lineRule="auto"/>
        <w:ind w:firstLine="480" w:firstLineChars="200"/>
        <w:jc w:val="left"/>
        <w:rPr>
          <w:rFonts w:hint="eastAsia" w:ascii="宋体" w:hAnsi="宋体" w:cs="宋体"/>
          <w:color w:val="auto"/>
          <w:sz w:val="24"/>
        </w:rPr>
      </w:pPr>
      <w:r>
        <w:rPr>
          <w:rFonts w:ascii="宋体" w:hAnsi="宋体"/>
          <w:color w:val="auto"/>
          <w:sz w:val="24"/>
        </w:rPr>
        <w:t>供应商获取</w:t>
      </w:r>
      <w:r>
        <w:rPr>
          <w:rFonts w:hint="eastAsia" w:ascii="宋体" w:hAnsi="宋体"/>
          <w:color w:val="auto"/>
          <w:sz w:val="24"/>
        </w:rPr>
        <w:t>磋商文件（若为个人转账，则发票抬头只能开具个人名字）</w:t>
      </w:r>
      <w:r>
        <w:rPr>
          <w:rFonts w:ascii="宋体" w:hAnsi="宋体"/>
          <w:color w:val="auto"/>
          <w:sz w:val="24"/>
        </w:rPr>
        <w:t>或缴纳</w:t>
      </w:r>
      <w:r>
        <w:rPr>
          <w:rFonts w:hint="eastAsia" w:ascii="宋体" w:hAnsi="宋体"/>
          <w:color w:val="auto"/>
          <w:sz w:val="24"/>
        </w:rPr>
        <w:t>代理</w:t>
      </w:r>
      <w:r>
        <w:rPr>
          <w:rFonts w:ascii="宋体" w:hAnsi="宋体"/>
          <w:color w:val="auto"/>
          <w:sz w:val="24"/>
        </w:rPr>
        <w:t>服务费</w:t>
      </w:r>
      <w:r>
        <w:rPr>
          <w:rFonts w:hint="eastAsia" w:ascii="宋体" w:hAnsi="宋体"/>
          <w:color w:val="auto"/>
          <w:sz w:val="24"/>
        </w:rPr>
        <w:t>（只能公对公转账），</w:t>
      </w:r>
      <w:r>
        <w:rPr>
          <w:rFonts w:ascii="宋体" w:hAnsi="宋体"/>
          <w:color w:val="auto"/>
          <w:sz w:val="24"/>
        </w:rPr>
        <w:t>开具发票须提供与供应商公章一致的单位名称和纳税人识别号（即统一社会信用代码）</w:t>
      </w:r>
      <w:r>
        <w:rPr>
          <w:rFonts w:hint="eastAsia" w:ascii="宋体" w:hAnsi="宋体"/>
          <w:color w:val="auto"/>
          <w:sz w:val="24"/>
        </w:rPr>
        <w:t>，</w:t>
      </w:r>
      <w:r>
        <w:rPr>
          <w:rFonts w:ascii="宋体" w:hAnsi="宋体"/>
          <w:color w:val="auto"/>
          <w:sz w:val="24"/>
        </w:rPr>
        <w:t>发票抬头为个人或政府部门等无税号单位</w:t>
      </w:r>
      <w:r>
        <w:rPr>
          <w:rFonts w:hint="eastAsia" w:ascii="宋体" w:hAnsi="宋体"/>
          <w:color w:val="auto"/>
          <w:sz w:val="24"/>
        </w:rPr>
        <w:t>除外。</w:t>
      </w:r>
      <w:r>
        <w:rPr>
          <w:rFonts w:ascii="宋体" w:hAnsi="宋体"/>
          <w:color w:val="auto"/>
          <w:sz w:val="24"/>
        </w:rPr>
        <w:t>若因未及时提供或提供错误信息造成的开票问题，代理机构概不承担责任（不提供换票或补票等服务）。</w:t>
      </w:r>
    </w:p>
    <w:p w14:paraId="1AE66BFF">
      <w:pPr>
        <w:pStyle w:val="52"/>
        <w:ind w:firstLine="0" w:firstLineChars="0"/>
        <w:outlineLvl w:val="1"/>
        <w:rPr>
          <w:rFonts w:hint="eastAsia" w:ascii="宋体" w:hAnsi="宋体"/>
          <w:b/>
          <w:color w:val="auto"/>
          <w:sz w:val="24"/>
          <w:szCs w:val="24"/>
        </w:rPr>
      </w:pPr>
      <w:bookmarkStart w:id="37" w:name="_Toc17536"/>
      <w:bookmarkStart w:id="38" w:name="_Toc6535"/>
      <w:r>
        <w:rPr>
          <w:rFonts w:hint="eastAsia" w:ascii="宋体" w:hAnsi="宋体"/>
          <w:b/>
          <w:bCs/>
          <w:color w:val="auto"/>
          <w:sz w:val="24"/>
          <w:szCs w:val="24"/>
        </w:rPr>
        <w:t>2、</w:t>
      </w:r>
      <w:r>
        <w:rPr>
          <w:rFonts w:hint="eastAsia" w:ascii="宋体" w:hAnsi="宋体"/>
          <w:b/>
          <w:color w:val="auto"/>
          <w:sz w:val="24"/>
          <w:szCs w:val="24"/>
        </w:rPr>
        <w:t>磋商保证金退还事宜：</w:t>
      </w:r>
      <w:bookmarkEnd w:id="37"/>
      <w:bookmarkEnd w:id="38"/>
    </w:p>
    <w:p w14:paraId="3CCFD6D3">
      <w:pPr>
        <w:pStyle w:val="52"/>
        <w:ind w:firstLine="0" w:firstLineChars="0"/>
        <w:rPr>
          <w:rFonts w:hint="eastAsia" w:ascii="宋体" w:hAnsi="宋体"/>
          <w:color w:val="auto"/>
          <w:sz w:val="24"/>
          <w:szCs w:val="24"/>
        </w:rPr>
      </w:pPr>
      <w:r>
        <w:rPr>
          <w:rFonts w:hint="eastAsia" w:ascii="宋体" w:hAnsi="宋体"/>
          <w:color w:val="auto"/>
          <w:sz w:val="24"/>
          <w:szCs w:val="24"/>
        </w:rPr>
        <w:t xml:space="preserve">    </w:t>
      </w:r>
      <w:r>
        <w:rPr>
          <w:rFonts w:hint="eastAsia" w:ascii="宋体" w:hAnsi="宋体"/>
          <w:color w:val="auto"/>
          <w:sz w:val="24"/>
        </w:rPr>
        <w:t>供应商制作响应文件时，应将《退回保证金说明函》（含清晰准确的保证金缴款凭证）</w:t>
      </w:r>
      <w:r>
        <w:rPr>
          <w:rFonts w:hint="eastAsia" w:ascii="宋体" w:hAnsi="宋体"/>
          <w:color w:val="auto"/>
          <w:sz w:val="24"/>
          <w:szCs w:val="24"/>
          <w:lang w:bidi="ar"/>
        </w:rPr>
        <w:t>另单独打印盖章一份</w:t>
      </w:r>
      <w:r>
        <w:rPr>
          <w:rFonts w:hint="eastAsia" w:ascii="宋体" w:hAnsi="宋体"/>
          <w:color w:val="auto"/>
          <w:sz w:val="24"/>
        </w:rPr>
        <w:t>与响应文件</w:t>
      </w:r>
      <w:r>
        <w:rPr>
          <w:rFonts w:hint="eastAsia" w:ascii="宋体" w:hAnsi="宋体"/>
          <w:color w:val="auto"/>
          <w:sz w:val="24"/>
          <w:szCs w:val="24"/>
          <w:lang w:bidi="ar"/>
        </w:rPr>
        <w:t>电子版(U盘)</w:t>
      </w:r>
      <w:r>
        <w:rPr>
          <w:rFonts w:hint="eastAsia" w:ascii="宋体" w:hAnsi="宋体"/>
          <w:color w:val="auto"/>
          <w:sz w:val="24"/>
        </w:rPr>
        <w:t>一起提交。成交单位签订合同后将合同原件扫描件及《退回保证金说明函》（含清晰准确的保证金缴款凭证）发送至代理机构邮箱（</w:t>
      </w:r>
      <w:r>
        <w:rPr>
          <w:color w:val="auto"/>
        </w:rPr>
        <w:fldChar w:fldCharType="begin"/>
      </w:r>
      <w:r>
        <w:rPr>
          <w:color w:val="auto"/>
        </w:rPr>
        <w:instrText xml:space="preserve"> HYPERLINK "mailto:fjlqzb888@126.com" </w:instrText>
      </w:r>
      <w:r>
        <w:rPr>
          <w:color w:val="auto"/>
        </w:rPr>
        <w:fldChar w:fldCharType="separate"/>
      </w:r>
      <w:r>
        <w:rPr>
          <w:rFonts w:hint="eastAsia" w:ascii="宋体" w:hAnsi="宋体"/>
          <w:color w:val="auto"/>
          <w:sz w:val="24"/>
        </w:rPr>
        <w:t>fjlqzb888@126.com</w:t>
      </w:r>
      <w:r>
        <w:rPr>
          <w:rFonts w:hint="eastAsia" w:ascii="宋体" w:hAnsi="宋体"/>
          <w:color w:val="auto"/>
          <w:sz w:val="24"/>
        </w:rPr>
        <w:fldChar w:fldCharType="end"/>
      </w:r>
      <w:r>
        <w:rPr>
          <w:rFonts w:hint="eastAsia" w:ascii="宋体" w:hAnsi="宋体"/>
          <w:color w:val="auto"/>
          <w:sz w:val="24"/>
        </w:rPr>
        <w:t>），或将合同原件（或加盖公章及骑缝章的复印件）及《退回保证金说明函》（含清晰准确的保证金缴款凭证）送至或邮寄至代理机构。否则由此造成保证金无法及时退还的，代理机构概不承担责任。</w:t>
      </w:r>
    </w:p>
    <w:p w14:paraId="087EA0C9">
      <w:pPr>
        <w:pStyle w:val="52"/>
        <w:ind w:firstLine="0" w:firstLineChars="0"/>
        <w:rPr>
          <w:rFonts w:hint="eastAsia" w:ascii="宋体" w:hAnsi="宋体"/>
          <w:b/>
          <w:color w:val="auto"/>
          <w:sz w:val="24"/>
          <w:szCs w:val="24"/>
        </w:rPr>
      </w:pPr>
      <w:r>
        <w:rPr>
          <w:rFonts w:hint="eastAsia" w:ascii="宋体" w:hAnsi="宋体"/>
          <w:b/>
          <w:bCs/>
          <w:color w:val="auto"/>
          <w:sz w:val="24"/>
          <w:szCs w:val="24"/>
        </w:rPr>
        <w:t>★3</w:t>
      </w:r>
      <w:r>
        <w:rPr>
          <w:rFonts w:hint="eastAsia" w:ascii="宋体" w:hAnsi="宋体"/>
          <w:b/>
          <w:color w:val="auto"/>
          <w:sz w:val="24"/>
          <w:szCs w:val="24"/>
        </w:rPr>
        <w:t>、关于供应商名称：</w:t>
      </w:r>
    </w:p>
    <w:p w14:paraId="747EA5C9">
      <w:pPr>
        <w:spacing w:line="360" w:lineRule="auto"/>
        <w:ind w:firstLine="492"/>
        <w:jc w:val="left"/>
        <w:rPr>
          <w:rFonts w:hint="eastAsia" w:ascii="宋体" w:hAnsi="宋体"/>
          <w:color w:val="auto"/>
          <w:sz w:val="24"/>
        </w:rPr>
      </w:pPr>
      <w:r>
        <w:rPr>
          <w:rFonts w:hint="eastAsia" w:ascii="宋体" w:hAnsi="宋体"/>
          <w:color w:val="auto"/>
          <w:sz w:val="24"/>
        </w:rPr>
        <w:t>递交响应文件时供应商的单位名称应与获取磋商文件（办理报名手续）登记的单位名称完全一致；磋商保证金出账账户名称应与供应商名称一致。除能提供工商管理部门出具的单位名称变更证明外，否则代理机构拒绝接收名称不符的响应文件。</w:t>
      </w:r>
    </w:p>
    <w:p w14:paraId="0C5E5869">
      <w:pPr>
        <w:pStyle w:val="39"/>
        <w:ind w:firstLine="492"/>
        <w:rPr>
          <w:color w:val="auto"/>
        </w:rPr>
      </w:pPr>
    </w:p>
    <w:p w14:paraId="2376DBB5">
      <w:pPr>
        <w:pStyle w:val="39"/>
        <w:ind w:firstLine="492"/>
        <w:rPr>
          <w:color w:val="auto"/>
        </w:rPr>
      </w:pPr>
    </w:p>
    <w:p w14:paraId="2E132332">
      <w:pPr>
        <w:pStyle w:val="39"/>
        <w:ind w:firstLine="492"/>
        <w:rPr>
          <w:color w:val="auto"/>
        </w:rPr>
      </w:pPr>
    </w:p>
    <w:p w14:paraId="2F23F26E">
      <w:pPr>
        <w:pStyle w:val="39"/>
        <w:ind w:firstLine="492"/>
        <w:rPr>
          <w:color w:val="auto"/>
        </w:rPr>
      </w:pPr>
    </w:p>
    <w:p w14:paraId="1BD30D90">
      <w:pPr>
        <w:pStyle w:val="39"/>
        <w:ind w:firstLine="492"/>
        <w:rPr>
          <w:color w:val="auto"/>
        </w:rPr>
      </w:pPr>
    </w:p>
    <w:p w14:paraId="734B9649">
      <w:pPr>
        <w:pStyle w:val="39"/>
        <w:ind w:firstLine="492"/>
        <w:rPr>
          <w:color w:val="auto"/>
        </w:rPr>
      </w:pPr>
    </w:p>
    <w:p w14:paraId="6C64905A">
      <w:pPr>
        <w:pStyle w:val="39"/>
        <w:ind w:firstLine="492"/>
        <w:rPr>
          <w:color w:val="auto"/>
        </w:rPr>
      </w:pPr>
    </w:p>
    <w:p w14:paraId="337354EA">
      <w:pPr>
        <w:pStyle w:val="39"/>
        <w:ind w:firstLine="492"/>
        <w:rPr>
          <w:color w:val="auto"/>
        </w:rPr>
      </w:pPr>
    </w:p>
    <w:p w14:paraId="3EF4E449">
      <w:pPr>
        <w:pStyle w:val="39"/>
        <w:ind w:firstLine="492"/>
        <w:rPr>
          <w:color w:val="auto"/>
        </w:rPr>
      </w:pPr>
    </w:p>
    <w:p w14:paraId="06EF10AA">
      <w:pPr>
        <w:pStyle w:val="39"/>
        <w:ind w:firstLine="492"/>
        <w:rPr>
          <w:color w:val="auto"/>
        </w:rPr>
      </w:pPr>
    </w:p>
    <w:p w14:paraId="4ACB2D12">
      <w:pPr>
        <w:pStyle w:val="39"/>
        <w:ind w:firstLine="492"/>
        <w:rPr>
          <w:color w:val="auto"/>
        </w:rPr>
      </w:pPr>
    </w:p>
    <w:p w14:paraId="51209469">
      <w:pPr>
        <w:pStyle w:val="39"/>
        <w:ind w:firstLine="492"/>
        <w:rPr>
          <w:color w:val="auto"/>
        </w:rPr>
      </w:pPr>
    </w:p>
    <w:p w14:paraId="3A4006E0">
      <w:pPr>
        <w:pStyle w:val="39"/>
        <w:ind w:firstLine="492"/>
        <w:rPr>
          <w:color w:val="auto"/>
        </w:rPr>
      </w:pPr>
    </w:p>
    <w:p w14:paraId="435FF697">
      <w:pPr>
        <w:pStyle w:val="39"/>
        <w:ind w:firstLine="492"/>
        <w:rPr>
          <w:color w:val="auto"/>
        </w:rPr>
      </w:pPr>
    </w:p>
    <w:p w14:paraId="0949A758">
      <w:pPr>
        <w:pStyle w:val="39"/>
        <w:ind w:firstLine="492"/>
        <w:rPr>
          <w:color w:val="auto"/>
        </w:rPr>
      </w:pPr>
    </w:p>
    <w:p w14:paraId="0C3C40EE">
      <w:pPr>
        <w:pStyle w:val="39"/>
        <w:ind w:firstLine="492"/>
        <w:rPr>
          <w:color w:val="auto"/>
        </w:rPr>
      </w:pPr>
    </w:p>
    <w:p w14:paraId="0F7309BF">
      <w:pPr>
        <w:pStyle w:val="39"/>
        <w:ind w:firstLine="492"/>
        <w:rPr>
          <w:color w:val="auto"/>
        </w:rPr>
      </w:pPr>
    </w:p>
    <w:p w14:paraId="661AE0DB">
      <w:pPr>
        <w:pStyle w:val="39"/>
        <w:ind w:firstLine="492"/>
        <w:rPr>
          <w:color w:val="auto"/>
        </w:rPr>
      </w:pPr>
    </w:p>
    <w:p w14:paraId="58A3D828">
      <w:pPr>
        <w:pStyle w:val="39"/>
        <w:ind w:firstLine="492"/>
        <w:rPr>
          <w:color w:val="auto"/>
        </w:rPr>
      </w:pPr>
    </w:p>
    <w:p w14:paraId="491F6A10">
      <w:pPr>
        <w:pStyle w:val="39"/>
        <w:ind w:firstLine="492"/>
        <w:rPr>
          <w:color w:val="auto"/>
        </w:rPr>
      </w:pPr>
    </w:p>
    <w:p w14:paraId="3AED249F">
      <w:pPr>
        <w:spacing w:line="360" w:lineRule="auto"/>
        <w:rPr>
          <w:rFonts w:hint="eastAsia" w:ascii="宋体" w:hAnsi="宋体"/>
          <w:color w:val="auto"/>
          <w:sz w:val="24"/>
        </w:rPr>
      </w:pPr>
      <w:r>
        <w:rPr>
          <w:rFonts w:hint="eastAsia" w:ascii="宋体" w:hAnsi="宋体"/>
          <w:color w:val="auto"/>
          <w:sz w:val="24"/>
        </w:rPr>
        <w:t>附：磋商项目一览表</w:t>
      </w:r>
    </w:p>
    <w:p w14:paraId="596AF741">
      <w:pPr>
        <w:pStyle w:val="2"/>
        <w:spacing w:before="120" w:line="360" w:lineRule="auto"/>
        <w:jc w:val="center"/>
        <w:rPr>
          <w:rFonts w:ascii="宋体" w:hAnsi="宋体"/>
          <w:color w:val="auto"/>
          <w:szCs w:val="30"/>
        </w:rPr>
      </w:pPr>
      <w:bookmarkStart w:id="39" w:name="_Toc6138"/>
      <w:bookmarkStart w:id="40" w:name="_Toc161736611"/>
      <w:bookmarkStart w:id="41" w:name="_Toc26991"/>
      <w:r>
        <w:rPr>
          <w:rFonts w:hint="eastAsia" w:ascii="宋体" w:hAnsi="宋体"/>
          <w:color w:val="auto"/>
          <w:szCs w:val="30"/>
        </w:rPr>
        <w:t>磋商项目一览表</w:t>
      </w:r>
      <w:bookmarkEnd w:id="39"/>
      <w:bookmarkEnd w:id="40"/>
      <w:bookmarkEnd w:id="41"/>
    </w:p>
    <w:tbl>
      <w:tblPr>
        <w:tblStyle w:val="31"/>
        <w:tblW w:w="5146"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772"/>
        <w:gridCol w:w="1553"/>
        <w:gridCol w:w="2064"/>
        <w:gridCol w:w="1352"/>
        <w:gridCol w:w="1325"/>
        <w:gridCol w:w="1388"/>
        <w:gridCol w:w="1482"/>
      </w:tblGrid>
      <w:tr w14:paraId="7231B1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9" w:hRule="atLeast"/>
          <w:tblHeader/>
        </w:trPr>
        <w:tc>
          <w:tcPr>
            <w:tcW w:w="388" w:type="pct"/>
            <w:tcBorders>
              <w:top w:val="outset" w:color="auto" w:sz="6" w:space="0"/>
              <w:left w:val="outset" w:color="auto" w:sz="6" w:space="0"/>
              <w:bottom w:val="outset" w:color="auto" w:sz="6" w:space="0"/>
              <w:right w:val="outset" w:color="auto" w:sz="6" w:space="0"/>
            </w:tcBorders>
            <w:shd w:val="clear" w:color="auto" w:fill="auto"/>
            <w:vAlign w:val="center"/>
          </w:tcPr>
          <w:p w14:paraId="1E4BB94F">
            <w:pPr>
              <w:widowControl/>
              <w:spacing w:line="440" w:lineRule="exact"/>
              <w:jc w:val="center"/>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kern w:val="0"/>
                <w:sz w:val="24"/>
                <w:lang w:eastAsia="zh-CN"/>
              </w:rPr>
              <w:t>采购包</w:t>
            </w:r>
          </w:p>
        </w:tc>
        <w:tc>
          <w:tcPr>
            <w:tcW w:w="781" w:type="pct"/>
            <w:tcBorders>
              <w:top w:val="outset" w:color="auto" w:sz="6" w:space="0"/>
              <w:left w:val="outset" w:color="auto" w:sz="6" w:space="0"/>
              <w:bottom w:val="outset" w:color="auto" w:sz="6" w:space="0"/>
              <w:right w:val="outset" w:color="auto" w:sz="6" w:space="0"/>
            </w:tcBorders>
            <w:shd w:val="clear" w:color="auto" w:fill="auto"/>
            <w:vAlign w:val="center"/>
          </w:tcPr>
          <w:p w14:paraId="4AEBB3E0">
            <w:pPr>
              <w:widowControl/>
              <w:spacing w:line="440" w:lineRule="exact"/>
              <w:jc w:val="center"/>
              <w:rPr>
                <w:rFonts w:hint="default" w:asciiTheme="minorEastAsia" w:hAnsiTheme="minorEastAsia" w:eastAsiaTheme="minorEastAsia" w:cstheme="minorEastAsia"/>
                <w:color w:val="auto"/>
                <w:lang w:val="en-US" w:eastAsia="zh-CN"/>
              </w:rPr>
            </w:pPr>
            <w:r>
              <w:rPr>
                <w:rFonts w:hint="eastAsia" w:asciiTheme="minorEastAsia" w:hAnsiTheme="minorEastAsia" w:cstheme="minorEastAsia"/>
                <w:color w:val="auto"/>
                <w:kern w:val="0"/>
                <w:sz w:val="24"/>
              </w:rPr>
              <w:t>品目</w:t>
            </w:r>
            <w:r>
              <w:rPr>
                <w:rFonts w:hint="eastAsia" w:asciiTheme="minorEastAsia" w:hAnsiTheme="minorEastAsia" w:cstheme="minorEastAsia"/>
                <w:color w:val="auto"/>
                <w:kern w:val="0"/>
                <w:sz w:val="24"/>
                <w:lang w:val="en-US" w:eastAsia="zh-CN"/>
              </w:rPr>
              <w:t>编码及品目名称</w:t>
            </w:r>
          </w:p>
        </w:tc>
        <w:tc>
          <w:tcPr>
            <w:tcW w:w="1038" w:type="pct"/>
            <w:tcBorders>
              <w:top w:val="outset" w:color="auto" w:sz="6" w:space="0"/>
              <w:left w:val="outset" w:color="auto" w:sz="6" w:space="0"/>
              <w:bottom w:val="outset" w:color="auto" w:sz="6" w:space="0"/>
              <w:right w:val="outset" w:color="auto" w:sz="6" w:space="0"/>
            </w:tcBorders>
            <w:shd w:val="clear" w:color="auto" w:fill="auto"/>
            <w:vAlign w:val="center"/>
          </w:tcPr>
          <w:p w14:paraId="74317AB4">
            <w:pPr>
              <w:widowControl/>
              <w:spacing w:line="440" w:lineRule="exact"/>
              <w:jc w:val="center"/>
              <w:rPr>
                <w:rFonts w:hint="eastAsia" w:asciiTheme="minorEastAsia" w:hAnsiTheme="minorEastAsia" w:eastAsiaTheme="minorEastAsia" w:cstheme="minorEastAsia"/>
                <w:color w:val="auto"/>
                <w:lang w:val="en-US" w:eastAsia="zh-CN"/>
              </w:rPr>
            </w:pPr>
            <w:r>
              <w:rPr>
                <w:rFonts w:hint="eastAsia" w:asciiTheme="minorEastAsia" w:hAnsiTheme="minorEastAsia" w:cstheme="minorEastAsia"/>
                <w:color w:val="auto"/>
                <w:kern w:val="0"/>
                <w:sz w:val="24"/>
              </w:rPr>
              <w:t>标的</w:t>
            </w:r>
            <w:r>
              <w:rPr>
                <w:rFonts w:hint="eastAsia" w:asciiTheme="minorEastAsia" w:hAnsiTheme="minorEastAsia" w:cstheme="minorEastAsia"/>
                <w:color w:val="auto"/>
                <w:kern w:val="0"/>
                <w:sz w:val="24"/>
                <w:lang w:val="en-US" w:eastAsia="zh-CN"/>
              </w:rPr>
              <w:t>名称</w:t>
            </w:r>
          </w:p>
        </w:tc>
        <w:tc>
          <w:tcPr>
            <w:tcW w:w="680" w:type="pct"/>
            <w:tcBorders>
              <w:top w:val="outset" w:color="auto" w:sz="6" w:space="0"/>
              <w:left w:val="outset" w:color="auto" w:sz="6" w:space="0"/>
              <w:bottom w:val="outset" w:color="auto" w:sz="6" w:space="0"/>
              <w:right w:val="outset" w:color="auto" w:sz="6" w:space="0"/>
            </w:tcBorders>
            <w:shd w:val="clear" w:color="auto" w:fill="auto"/>
            <w:vAlign w:val="center"/>
          </w:tcPr>
          <w:p w14:paraId="06A768FA">
            <w:pPr>
              <w:widowControl/>
              <w:spacing w:line="440" w:lineRule="exact"/>
              <w:jc w:val="center"/>
              <w:rPr>
                <w:rFonts w:hint="eastAsia" w:asciiTheme="minorEastAsia" w:hAnsiTheme="minorEastAsia" w:cstheme="minorEastAsia"/>
                <w:color w:val="auto"/>
              </w:rPr>
            </w:pPr>
            <w:r>
              <w:rPr>
                <w:rFonts w:hint="eastAsia" w:ascii="宋体" w:hAnsi="宋体" w:cs="宋体"/>
                <w:bCs/>
                <w:color w:val="auto"/>
                <w:kern w:val="0"/>
                <w:sz w:val="24"/>
                <w:highlight w:val="none"/>
              </w:rPr>
              <w:t>服务期限</w:t>
            </w:r>
          </w:p>
        </w:tc>
        <w:tc>
          <w:tcPr>
            <w:tcW w:w="666" w:type="pct"/>
            <w:tcBorders>
              <w:top w:val="outset" w:color="auto" w:sz="6" w:space="0"/>
              <w:left w:val="outset" w:color="auto" w:sz="6" w:space="0"/>
              <w:bottom w:val="outset" w:color="auto" w:sz="6" w:space="0"/>
              <w:right w:val="outset" w:color="auto" w:sz="6" w:space="0"/>
            </w:tcBorders>
            <w:shd w:val="clear" w:color="auto" w:fill="auto"/>
            <w:vAlign w:val="center"/>
          </w:tcPr>
          <w:p w14:paraId="7F03D22A">
            <w:pPr>
              <w:widowControl/>
              <w:spacing w:line="440" w:lineRule="exact"/>
              <w:jc w:val="center"/>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kern w:val="0"/>
                <w:sz w:val="24"/>
                <w:lang w:eastAsia="zh-CN"/>
              </w:rPr>
              <w:t>采购包</w:t>
            </w:r>
            <w:r>
              <w:rPr>
                <w:rFonts w:hint="eastAsia" w:asciiTheme="minorEastAsia" w:hAnsiTheme="minorEastAsia" w:cstheme="minorEastAsia"/>
                <w:color w:val="auto"/>
                <w:kern w:val="0"/>
                <w:sz w:val="24"/>
              </w:rPr>
              <w:t>预算</w:t>
            </w:r>
            <w:r>
              <w:rPr>
                <w:rFonts w:hint="eastAsia" w:asciiTheme="minorEastAsia" w:hAnsiTheme="minorEastAsia" w:cstheme="minorEastAsia"/>
                <w:color w:val="auto"/>
                <w:kern w:val="0"/>
                <w:sz w:val="24"/>
                <w:lang w:eastAsia="zh-CN"/>
              </w:rPr>
              <w:t>（</w:t>
            </w:r>
            <w:r>
              <w:rPr>
                <w:rFonts w:hint="eastAsia" w:asciiTheme="minorEastAsia" w:hAnsiTheme="minorEastAsia" w:cstheme="minorEastAsia"/>
                <w:color w:val="auto"/>
                <w:kern w:val="0"/>
                <w:sz w:val="24"/>
                <w:lang w:val="en-US" w:eastAsia="zh-CN"/>
              </w:rPr>
              <w:t>元</w:t>
            </w:r>
            <w:r>
              <w:rPr>
                <w:rFonts w:hint="eastAsia" w:asciiTheme="minorEastAsia" w:hAnsiTheme="minorEastAsia" w:cstheme="minorEastAsia"/>
                <w:color w:val="auto"/>
                <w:kern w:val="0"/>
                <w:sz w:val="24"/>
                <w:lang w:eastAsia="zh-CN"/>
              </w:rPr>
              <w:t>）</w:t>
            </w:r>
          </w:p>
        </w:tc>
        <w:tc>
          <w:tcPr>
            <w:tcW w:w="698" w:type="pct"/>
            <w:tcBorders>
              <w:top w:val="outset" w:color="auto" w:sz="6" w:space="0"/>
              <w:left w:val="outset" w:color="auto" w:sz="6" w:space="0"/>
              <w:bottom w:val="outset" w:color="auto" w:sz="6" w:space="0"/>
              <w:right w:val="outset" w:color="auto" w:sz="6" w:space="0"/>
            </w:tcBorders>
            <w:shd w:val="clear" w:color="auto" w:fill="auto"/>
            <w:vAlign w:val="center"/>
          </w:tcPr>
          <w:p w14:paraId="6C49AF37">
            <w:pPr>
              <w:widowControl/>
              <w:spacing w:line="440" w:lineRule="exact"/>
              <w:jc w:val="center"/>
              <w:rPr>
                <w:rFonts w:hint="eastAsia" w:asciiTheme="minorEastAsia" w:hAnsiTheme="minorEastAsia" w:eastAsiaTheme="minorEastAsia" w:cstheme="minorEastAsia"/>
                <w:color w:val="auto"/>
                <w:kern w:val="0"/>
                <w:sz w:val="24"/>
                <w:lang w:eastAsia="zh-CN"/>
              </w:rPr>
            </w:pPr>
            <w:r>
              <w:rPr>
                <w:rFonts w:hint="eastAsia" w:asciiTheme="minorEastAsia" w:hAnsiTheme="minorEastAsia" w:cstheme="minorEastAsia"/>
                <w:color w:val="auto"/>
                <w:kern w:val="0"/>
                <w:sz w:val="24"/>
                <w:lang w:eastAsia="zh-CN"/>
              </w:rPr>
              <w:t>采购包</w:t>
            </w:r>
          </w:p>
          <w:p w14:paraId="0957081D">
            <w:pPr>
              <w:widowControl/>
              <w:spacing w:line="440" w:lineRule="exact"/>
              <w:jc w:val="center"/>
              <w:rPr>
                <w:rFonts w:hint="eastAsia" w:asciiTheme="minorEastAsia" w:hAnsiTheme="minorEastAsia" w:cstheme="minorEastAsia"/>
                <w:color w:val="auto"/>
              </w:rPr>
            </w:pPr>
            <w:r>
              <w:rPr>
                <w:rFonts w:hint="eastAsia" w:asciiTheme="minorEastAsia" w:hAnsiTheme="minorEastAsia" w:cstheme="minorEastAsia"/>
                <w:color w:val="auto"/>
                <w:kern w:val="0"/>
                <w:sz w:val="24"/>
              </w:rPr>
              <w:t>最高限价</w:t>
            </w:r>
            <w:r>
              <w:rPr>
                <w:rFonts w:hint="eastAsia" w:asciiTheme="minorEastAsia" w:hAnsiTheme="minorEastAsia" w:cstheme="minorEastAsia"/>
                <w:color w:val="auto"/>
                <w:kern w:val="0"/>
                <w:sz w:val="24"/>
                <w:lang w:eastAsia="zh-CN"/>
              </w:rPr>
              <w:t>（</w:t>
            </w:r>
            <w:r>
              <w:rPr>
                <w:rFonts w:hint="eastAsia" w:asciiTheme="minorEastAsia" w:hAnsiTheme="minorEastAsia" w:cstheme="minorEastAsia"/>
                <w:color w:val="auto"/>
                <w:kern w:val="0"/>
                <w:sz w:val="24"/>
                <w:lang w:val="en-US" w:eastAsia="zh-CN"/>
              </w:rPr>
              <w:t>元</w:t>
            </w:r>
            <w:r>
              <w:rPr>
                <w:rFonts w:hint="eastAsia" w:asciiTheme="minorEastAsia" w:hAnsiTheme="minorEastAsia" w:cstheme="minorEastAsia"/>
                <w:color w:val="auto"/>
                <w:kern w:val="0"/>
                <w:sz w:val="24"/>
                <w:lang w:eastAsia="zh-CN"/>
              </w:rPr>
              <w:t>）</w:t>
            </w:r>
          </w:p>
        </w:tc>
        <w:tc>
          <w:tcPr>
            <w:tcW w:w="745" w:type="pct"/>
            <w:tcBorders>
              <w:top w:val="outset" w:color="auto" w:sz="6" w:space="0"/>
              <w:left w:val="outset" w:color="auto" w:sz="6" w:space="0"/>
              <w:bottom w:val="outset" w:color="auto" w:sz="6" w:space="0"/>
              <w:right w:val="outset" w:color="auto" w:sz="6" w:space="0"/>
            </w:tcBorders>
            <w:shd w:val="clear" w:color="auto" w:fill="auto"/>
            <w:vAlign w:val="center"/>
          </w:tcPr>
          <w:p w14:paraId="3AD53BAD">
            <w:pPr>
              <w:widowControl/>
              <w:spacing w:line="440" w:lineRule="exact"/>
              <w:jc w:val="center"/>
              <w:rPr>
                <w:rFonts w:hint="eastAsia" w:asciiTheme="minorEastAsia" w:hAnsiTheme="minorEastAsia" w:cstheme="minorEastAsia"/>
                <w:color w:val="auto"/>
                <w:kern w:val="0"/>
                <w:sz w:val="24"/>
              </w:rPr>
            </w:pPr>
            <w:r>
              <w:rPr>
                <w:rFonts w:hint="eastAsia" w:asciiTheme="minorEastAsia" w:hAnsiTheme="minorEastAsia" w:cstheme="minorEastAsia"/>
                <w:color w:val="auto"/>
                <w:kern w:val="0"/>
                <w:sz w:val="24"/>
              </w:rPr>
              <w:t>磋商</w:t>
            </w:r>
          </w:p>
          <w:p w14:paraId="1D26EDB0">
            <w:pPr>
              <w:widowControl/>
              <w:spacing w:line="440" w:lineRule="exact"/>
              <w:jc w:val="center"/>
              <w:rPr>
                <w:rFonts w:hint="eastAsia" w:asciiTheme="minorEastAsia" w:hAnsiTheme="minorEastAsia" w:cstheme="minorEastAsia"/>
                <w:color w:val="auto"/>
              </w:rPr>
            </w:pPr>
            <w:r>
              <w:rPr>
                <w:rFonts w:hint="eastAsia" w:asciiTheme="minorEastAsia" w:hAnsiTheme="minorEastAsia" w:cstheme="minorEastAsia"/>
                <w:color w:val="auto"/>
                <w:kern w:val="0"/>
                <w:sz w:val="24"/>
              </w:rPr>
              <w:t>保证金</w:t>
            </w:r>
            <w:r>
              <w:rPr>
                <w:rFonts w:hint="eastAsia" w:asciiTheme="minorEastAsia" w:hAnsiTheme="minorEastAsia" w:cstheme="minorEastAsia"/>
                <w:color w:val="auto"/>
                <w:kern w:val="0"/>
                <w:sz w:val="24"/>
                <w:lang w:eastAsia="zh-CN"/>
              </w:rPr>
              <w:t>（</w:t>
            </w:r>
            <w:r>
              <w:rPr>
                <w:rFonts w:hint="eastAsia" w:asciiTheme="minorEastAsia" w:hAnsiTheme="minorEastAsia" w:cstheme="minorEastAsia"/>
                <w:color w:val="auto"/>
                <w:kern w:val="0"/>
                <w:sz w:val="24"/>
                <w:lang w:val="en-US" w:eastAsia="zh-CN"/>
              </w:rPr>
              <w:t>元</w:t>
            </w:r>
            <w:r>
              <w:rPr>
                <w:rFonts w:hint="eastAsia" w:asciiTheme="minorEastAsia" w:hAnsiTheme="minorEastAsia" w:cstheme="minorEastAsia"/>
                <w:color w:val="auto"/>
                <w:kern w:val="0"/>
                <w:sz w:val="24"/>
                <w:lang w:eastAsia="zh-CN"/>
              </w:rPr>
              <w:t>）</w:t>
            </w:r>
          </w:p>
        </w:tc>
      </w:tr>
      <w:tr w14:paraId="25B92E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Header/>
        </w:trPr>
        <w:tc>
          <w:tcPr>
            <w:tcW w:w="388" w:type="pct"/>
            <w:tcBorders>
              <w:top w:val="outset" w:color="auto" w:sz="6" w:space="0"/>
              <w:left w:val="outset" w:color="auto" w:sz="6" w:space="0"/>
              <w:bottom w:val="outset" w:color="auto" w:sz="6" w:space="0"/>
              <w:right w:val="outset" w:color="auto" w:sz="6" w:space="0"/>
            </w:tcBorders>
            <w:shd w:val="clear" w:color="auto" w:fill="auto"/>
            <w:vAlign w:val="center"/>
          </w:tcPr>
          <w:p w14:paraId="1BE70991">
            <w:pPr>
              <w:widowControl/>
              <w:spacing w:line="440" w:lineRule="exact"/>
              <w:jc w:val="center"/>
              <w:rPr>
                <w:rFonts w:hint="eastAsia" w:asciiTheme="minorEastAsia" w:hAnsiTheme="minorEastAsia" w:cstheme="minorEastAsia"/>
                <w:color w:val="auto"/>
                <w:kern w:val="0"/>
                <w:sz w:val="24"/>
                <w:lang w:eastAsia="zh-CN"/>
              </w:rPr>
            </w:pPr>
            <w:r>
              <w:rPr>
                <w:rFonts w:hint="eastAsia" w:asciiTheme="minorEastAsia" w:hAnsiTheme="minorEastAsia" w:cstheme="minorEastAsia"/>
                <w:color w:val="auto"/>
                <w:kern w:val="0"/>
                <w:sz w:val="24"/>
                <w:lang w:eastAsia="zh-CN"/>
              </w:rPr>
              <w:t>1</w:t>
            </w:r>
          </w:p>
        </w:tc>
        <w:tc>
          <w:tcPr>
            <w:tcW w:w="781" w:type="pct"/>
            <w:tcBorders>
              <w:top w:val="outset" w:color="auto" w:sz="6" w:space="0"/>
              <w:left w:val="outset" w:color="auto" w:sz="6" w:space="0"/>
              <w:bottom w:val="outset" w:color="auto" w:sz="6" w:space="0"/>
              <w:right w:val="outset" w:color="auto" w:sz="6" w:space="0"/>
            </w:tcBorders>
            <w:shd w:val="clear" w:color="auto" w:fill="auto"/>
            <w:vAlign w:val="center"/>
          </w:tcPr>
          <w:p w14:paraId="4E03A448">
            <w:pPr>
              <w:widowControl/>
              <w:spacing w:line="440" w:lineRule="exact"/>
              <w:jc w:val="center"/>
              <w:rPr>
                <w:rFonts w:hint="eastAsia" w:asciiTheme="minorEastAsia" w:hAnsiTheme="minorEastAsia" w:cstheme="minorEastAsia"/>
                <w:color w:val="auto"/>
                <w:kern w:val="0"/>
                <w:sz w:val="24"/>
                <w:lang w:val="en-US" w:eastAsia="zh-CN"/>
              </w:rPr>
            </w:pPr>
            <w:r>
              <w:rPr>
                <w:rFonts w:hint="eastAsia" w:asciiTheme="minorEastAsia" w:hAnsiTheme="minorEastAsia" w:cstheme="minorEastAsia"/>
                <w:color w:val="auto"/>
                <w:kern w:val="0"/>
                <w:sz w:val="24"/>
                <w:lang w:eastAsia="zh-CN"/>
              </w:rPr>
              <w:t>B99000000</w:t>
            </w:r>
            <w:r>
              <w:rPr>
                <w:rFonts w:hint="eastAsia" w:asciiTheme="minorEastAsia" w:hAnsiTheme="minorEastAsia" w:cstheme="minorEastAsia"/>
                <w:color w:val="auto"/>
                <w:kern w:val="0"/>
                <w:sz w:val="24"/>
                <w:lang w:val="en-US" w:eastAsia="zh-CN"/>
              </w:rPr>
              <w:t>-</w:t>
            </w:r>
            <w:r>
              <w:rPr>
                <w:rFonts w:hint="eastAsia" w:asciiTheme="minorEastAsia" w:hAnsiTheme="minorEastAsia" w:cstheme="minorEastAsia"/>
                <w:color w:val="auto"/>
                <w:kern w:val="0"/>
                <w:sz w:val="24"/>
                <w:lang w:eastAsia="zh-CN"/>
              </w:rPr>
              <w:t>其他建筑工程</w:t>
            </w:r>
          </w:p>
        </w:tc>
        <w:tc>
          <w:tcPr>
            <w:tcW w:w="1038" w:type="pct"/>
            <w:tcBorders>
              <w:top w:val="outset" w:color="auto" w:sz="6" w:space="0"/>
              <w:left w:val="outset" w:color="auto" w:sz="6" w:space="0"/>
              <w:bottom w:val="outset" w:color="auto" w:sz="6" w:space="0"/>
              <w:right w:val="outset" w:color="auto" w:sz="6" w:space="0"/>
            </w:tcBorders>
            <w:shd w:val="clear" w:color="auto" w:fill="auto"/>
            <w:vAlign w:val="center"/>
          </w:tcPr>
          <w:p w14:paraId="06A38661">
            <w:pPr>
              <w:widowControl/>
              <w:spacing w:line="440" w:lineRule="exact"/>
              <w:jc w:val="center"/>
              <w:rPr>
                <w:rFonts w:hint="eastAsia" w:asciiTheme="minorEastAsia" w:hAnsiTheme="minorEastAsia" w:eastAsiaTheme="minorEastAsia" w:cstheme="minorEastAsia"/>
                <w:color w:val="auto"/>
                <w:kern w:val="0"/>
                <w:sz w:val="24"/>
                <w:lang w:eastAsia="zh-CN"/>
              </w:rPr>
            </w:pPr>
            <w:r>
              <w:rPr>
                <w:rFonts w:hint="eastAsia" w:asciiTheme="minorEastAsia" w:hAnsiTheme="minorEastAsia" w:cstheme="minorEastAsia"/>
                <w:color w:val="auto"/>
                <w:kern w:val="0"/>
                <w:sz w:val="24"/>
                <w:lang w:eastAsia="zh-CN"/>
              </w:rPr>
              <w:t>2026至2027年度小规模工程施工单位采购项目</w:t>
            </w:r>
          </w:p>
        </w:tc>
        <w:tc>
          <w:tcPr>
            <w:tcW w:w="680" w:type="pct"/>
            <w:tcBorders>
              <w:top w:val="outset" w:color="auto" w:sz="6" w:space="0"/>
              <w:left w:val="outset" w:color="auto" w:sz="6" w:space="0"/>
              <w:bottom w:val="outset" w:color="auto" w:sz="6" w:space="0"/>
              <w:right w:val="outset" w:color="auto" w:sz="6" w:space="0"/>
            </w:tcBorders>
            <w:shd w:val="clear" w:color="auto" w:fill="auto"/>
            <w:vAlign w:val="center"/>
          </w:tcPr>
          <w:p w14:paraId="4E5221D5">
            <w:pPr>
              <w:widowControl/>
              <w:spacing w:line="440" w:lineRule="exact"/>
              <w:jc w:val="center"/>
              <w:rPr>
                <w:rFonts w:hint="default" w:asciiTheme="minorEastAsia" w:hAnsiTheme="minorEastAsia" w:eastAsiaTheme="minorEastAsia" w:cstheme="minorEastAsia"/>
                <w:color w:val="auto"/>
                <w:kern w:val="0"/>
                <w:sz w:val="24"/>
                <w:lang w:val="en-US" w:eastAsia="zh-CN"/>
              </w:rPr>
            </w:pPr>
            <w:r>
              <w:rPr>
                <w:rFonts w:hint="eastAsia" w:ascii="宋体" w:hAnsi="宋体" w:cs="宋体"/>
                <w:color w:val="auto"/>
                <w:kern w:val="0"/>
                <w:sz w:val="24"/>
                <w:highlight w:val="none"/>
                <w:lang w:val="en-US" w:eastAsia="zh-CN" w:bidi="ar"/>
              </w:rPr>
              <w:t>1年</w:t>
            </w:r>
          </w:p>
        </w:tc>
        <w:tc>
          <w:tcPr>
            <w:tcW w:w="666" w:type="pct"/>
            <w:tcBorders>
              <w:top w:val="outset" w:color="auto" w:sz="6" w:space="0"/>
              <w:left w:val="outset" w:color="auto" w:sz="6" w:space="0"/>
              <w:bottom w:val="outset" w:color="auto" w:sz="6" w:space="0"/>
              <w:right w:val="outset" w:color="auto" w:sz="6" w:space="0"/>
            </w:tcBorders>
            <w:shd w:val="clear" w:color="auto" w:fill="auto"/>
            <w:vAlign w:val="center"/>
          </w:tcPr>
          <w:p w14:paraId="3897DFE1">
            <w:pPr>
              <w:widowControl/>
              <w:spacing w:line="440" w:lineRule="exact"/>
              <w:jc w:val="center"/>
              <w:rPr>
                <w:rFonts w:hint="default" w:asciiTheme="minorEastAsia" w:hAnsiTheme="minorEastAsia" w:cstheme="minorEastAsia"/>
                <w:color w:val="auto"/>
                <w:kern w:val="0"/>
                <w:sz w:val="24"/>
                <w:lang w:val="en-US"/>
              </w:rPr>
            </w:pPr>
            <w:r>
              <w:rPr>
                <w:rFonts w:hint="eastAsia" w:ascii="宋体" w:hAnsi="宋体" w:eastAsia="宋体" w:cs="宋体"/>
                <w:color w:val="auto"/>
                <w:sz w:val="24"/>
                <w:lang w:val="en-US" w:eastAsia="zh-CN"/>
              </w:rPr>
              <w:t>2000000</w:t>
            </w:r>
          </w:p>
        </w:tc>
        <w:tc>
          <w:tcPr>
            <w:tcW w:w="698" w:type="pct"/>
            <w:tcBorders>
              <w:top w:val="outset" w:color="auto" w:sz="6" w:space="0"/>
              <w:left w:val="outset" w:color="auto" w:sz="6" w:space="0"/>
              <w:bottom w:val="outset" w:color="auto" w:sz="6" w:space="0"/>
              <w:right w:val="outset" w:color="auto" w:sz="6" w:space="0"/>
            </w:tcBorders>
            <w:shd w:val="clear" w:color="auto" w:fill="auto"/>
            <w:vAlign w:val="center"/>
          </w:tcPr>
          <w:p w14:paraId="2715208B">
            <w:pPr>
              <w:widowControl/>
              <w:spacing w:line="440" w:lineRule="exact"/>
              <w:jc w:val="center"/>
              <w:rPr>
                <w:rFonts w:hint="default" w:asciiTheme="minorEastAsia" w:hAnsiTheme="minorEastAsia" w:cstheme="minorEastAsia"/>
                <w:color w:val="auto"/>
                <w:kern w:val="0"/>
                <w:sz w:val="24"/>
                <w:lang w:val="en-US"/>
              </w:rPr>
            </w:pPr>
            <w:r>
              <w:rPr>
                <w:rFonts w:hint="eastAsia" w:ascii="宋体" w:hAnsi="宋体" w:eastAsia="宋体" w:cs="宋体"/>
                <w:color w:val="auto"/>
                <w:sz w:val="24"/>
                <w:lang w:val="en-US" w:eastAsia="zh-CN"/>
              </w:rPr>
              <w:t>2000000</w:t>
            </w:r>
          </w:p>
        </w:tc>
        <w:tc>
          <w:tcPr>
            <w:tcW w:w="745" w:type="pct"/>
            <w:tcBorders>
              <w:top w:val="outset" w:color="auto" w:sz="6" w:space="0"/>
              <w:left w:val="outset" w:color="auto" w:sz="6" w:space="0"/>
              <w:bottom w:val="outset" w:color="auto" w:sz="6" w:space="0"/>
              <w:right w:val="outset" w:color="auto" w:sz="6" w:space="0"/>
            </w:tcBorders>
            <w:shd w:val="clear" w:color="auto" w:fill="auto"/>
            <w:vAlign w:val="center"/>
          </w:tcPr>
          <w:p w14:paraId="4F110FDF">
            <w:pPr>
              <w:widowControl/>
              <w:spacing w:line="440" w:lineRule="exact"/>
              <w:jc w:val="center"/>
              <w:rPr>
                <w:rFonts w:hint="default" w:asciiTheme="minorEastAsia" w:hAnsiTheme="minorEastAsia" w:cstheme="minorEastAsia"/>
                <w:color w:val="auto"/>
                <w:kern w:val="0"/>
                <w:sz w:val="24"/>
                <w:lang w:val="en-US"/>
              </w:rPr>
            </w:pPr>
            <w:r>
              <w:rPr>
                <w:rFonts w:hint="eastAsia" w:asciiTheme="minorEastAsia" w:hAnsiTheme="minorEastAsia" w:cstheme="minorEastAsia"/>
                <w:color w:val="auto"/>
                <w:kern w:val="0"/>
                <w:sz w:val="24"/>
                <w:lang w:val="en-US" w:eastAsia="zh-CN"/>
              </w:rPr>
              <w:t>20000</w:t>
            </w:r>
          </w:p>
        </w:tc>
      </w:tr>
    </w:tbl>
    <w:p w14:paraId="0CC85586">
      <w:pPr>
        <w:pStyle w:val="19"/>
        <w:tabs>
          <w:tab w:val="left" w:pos="8360"/>
        </w:tabs>
        <w:spacing w:line="360" w:lineRule="auto"/>
        <w:ind w:left="30" w:leftChars="-100" w:hanging="240" w:hangingChars="100"/>
        <w:jc w:val="left"/>
        <w:rPr>
          <w:rFonts w:hint="eastAsia" w:hAnsi="宋体"/>
          <w:color w:val="auto"/>
          <w:sz w:val="24"/>
          <w:szCs w:val="24"/>
        </w:rPr>
      </w:pPr>
      <w:r>
        <w:rPr>
          <w:rFonts w:hint="eastAsia" w:hAnsi="宋体"/>
          <w:color w:val="auto"/>
          <w:sz w:val="24"/>
          <w:szCs w:val="24"/>
        </w:rPr>
        <w:t>注：</w:t>
      </w:r>
    </w:p>
    <w:p w14:paraId="17B5E31F">
      <w:pPr>
        <w:pStyle w:val="52"/>
        <w:snapToGrid w:val="0"/>
        <w:ind w:firstLine="480"/>
        <w:rPr>
          <w:rFonts w:hint="eastAsia" w:ascii="宋体" w:hAnsi="宋体"/>
          <w:color w:val="auto"/>
          <w:sz w:val="24"/>
        </w:rPr>
      </w:pPr>
      <w:r>
        <w:rPr>
          <w:rFonts w:hint="eastAsia" w:ascii="宋体" w:hAnsi="宋体"/>
          <w:color w:val="auto"/>
          <w:sz w:val="24"/>
        </w:rPr>
        <w:t>1、上述预算金额为含税金额，供应商可按采购包报价，对同一采购包内所有品目号内容报价时必须完整。评审与成交以采购包为单位。</w:t>
      </w:r>
    </w:p>
    <w:p w14:paraId="6FE9105A">
      <w:pPr>
        <w:pStyle w:val="52"/>
        <w:snapToGrid w:val="0"/>
        <w:ind w:firstLine="480"/>
        <w:rPr>
          <w:rFonts w:hint="eastAsia" w:ascii="宋体" w:hAnsi="宋体"/>
          <w:color w:val="auto"/>
          <w:sz w:val="24"/>
        </w:rPr>
      </w:pPr>
      <w:r>
        <w:rPr>
          <w:rFonts w:hint="eastAsia" w:ascii="宋体" w:hAnsi="宋体"/>
          <w:color w:val="auto"/>
          <w:sz w:val="24"/>
        </w:rPr>
        <w:t>2、本项目必须由单位负责人或单位负责人正式授权的供应商代表参加磋商，随时接受磋商小组询问，并予以解答。</w:t>
      </w:r>
    </w:p>
    <w:p w14:paraId="7C36B9F3">
      <w:pPr>
        <w:pStyle w:val="52"/>
        <w:snapToGrid w:val="0"/>
        <w:ind w:firstLine="480"/>
        <w:rPr>
          <w:rFonts w:hint="eastAsia" w:ascii="宋体" w:hAnsi="宋体"/>
          <w:color w:val="auto"/>
          <w:sz w:val="24"/>
        </w:rPr>
      </w:pPr>
      <w:r>
        <w:rPr>
          <w:rFonts w:hint="eastAsia" w:ascii="宋体" w:hAnsi="宋体"/>
          <w:color w:val="auto"/>
          <w:sz w:val="24"/>
        </w:rPr>
        <w:t>3、本项目不允许成交供应商以任何名义和理由进行转包、分包，如有发现，采购人有权单方终止合同，视为成交供应商违约；成交供应商违约对采购人造成的损失的，需另行支付相应的赔偿。</w:t>
      </w:r>
    </w:p>
    <w:p w14:paraId="3610CF49">
      <w:pPr>
        <w:pStyle w:val="52"/>
        <w:snapToGrid w:val="0"/>
        <w:ind w:firstLine="480"/>
        <w:rPr>
          <w:rFonts w:hint="eastAsia" w:ascii="宋体" w:hAnsi="宋体"/>
          <w:color w:val="auto"/>
          <w:sz w:val="24"/>
        </w:rPr>
      </w:pPr>
    </w:p>
    <w:p w14:paraId="31707A79">
      <w:pPr>
        <w:pStyle w:val="26"/>
        <w:widowControl/>
        <w:spacing w:before="75" w:beforeAutospacing="0" w:after="75" w:afterAutospacing="0"/>
        <w:jc w:val="center"/>
        <w:outlineLvl w:val="9"/>
        <w:rPr>
          <w:rFonts w:hint="eastAsia" w:asciiTheme="minorEastAsia" w:hAnsiTheme="minorEastAsia" w:cstheme="minorEastAsia"/>
          <w:color w:val="auto"/>
        </w:rPr>
      </w:pPr>
    </w:p>
    <w:p w14:paraId="22A27211">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62A672B1">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4E9B002D">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7262B6AD">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3B1EEDA1">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2D68C774">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2B0A054F">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237C5D57">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50F6F8F0">
      <w:pPr>
        <w:pStyle w:val="26"/>
        <w:widowControl/>
        <w:spacing w:before="75" w:beforeAutospacing="0" w:after="75" w:afterAutospacing="0"/>
        <w:jc w:val="center"/>
        <w:outlineLvl w:val="9"/>
        <w:rPr>
          <w:rStyle w:val="34"/>
          <w:rFonts w:hint="eastAsia" w:asciiTheme="minorEastAsia" w:hAnsiTheme="minorEastAsia" w:cstheme="minorEastAsia"/>
          <w:color w:val="auto"/>
          <w:sz w:val="36"/>
          <w:szCs w:val="36"/>
        </w:rPr>
      </w:pPr>
    </w:p>
    <w:p w14:paraId="1AE58145">
      <w:pPr>
        <w:pStyle w:val="26"/>
        <w:widowControl/>
        <w:spacing w:before="75" w:beforeAutospacing="0" w:after="75" w:afterAutospacing="0"/>
        <w:jc w:val="center"/>
        <w:outlineLvl w:val="0"/>
        <w:rPr>
          <w:rStyle w:val="34"/>
          <w:rFonts w:hint="eastAsia" w:asciiTheme="minorEastAsia" w:hAnsiTheme="minorEastAsia" w:cstheme="minorEastAsia"/>
          <w:color w:val="auto"/>
          <w:sz w:val="36"/>
          <w:szCs w:val="36"/>
        </w:rPr>
      </w:pPr>
      <w:bookmarkStart w:id="42" w:name="_Toc11703"/>
      <w:r>
        <w:rPr>
          <w:rStyle w:val="34"/>
          <w:rFonts w:hint="eastAsia" w:asciiTheme="minorEastAsia" w:hAnsiTheme="minorEastAsia" w:cstheme="minorEastAsia"/>
          <w:color w:val="auto"/>
          <w:sz w:val="36"/>
          <w:szCs w:val="36"/>
        </w:rPr>
        <w:t>第二章  竞争性磋商须知</w:t>
      </w:r>
      <w:bookmarkEnd w:id="32"/>
      <w:bookmarkEnd w:id="42"/>
    </w:p>
    <w:p w14:paraId="4F256E25">
      <w:pPr>
        <w:pStyle w:val="26"/>
        <w:widowControl/>
        <w:spacing w:before="75" w:beforeAutospacing="0" w:after="75" w:afterAutospacing="0"/>
        <w:jc w:val="center"/>
        <w:outlineLvl w:val="1"/>
        <w:rPr>
          <w:rFonts w:hint="eastAsia" w:asciiTheme="minorEastAsia" w:hAnsiTheme="minorEastAsia" w:cstheme="minorEastAsia"/>
          <w:color w:val="auto"/>
        </w:rPr>
      </w:pPr>
      <w:bookmarkStart w:id="43" w:name="_Toc18930"/>
      <w:bookmarkStart w:id="44" w:name="_Toc12710"/>
      <w:r>
        <w:rPr>
          <w:rStyle w:val="34"/>
          <w:rFonts w:hint="eastAsia" w:asciiTheme="minorEastAsia" w:hAnsiTheme="minorEastAsia" w:cstheme="minorEastAsia"/>
          <w:color w:val="auto"/>
          <w:sz w:val="36"/>
          <w:szCs w:val="36"/>
        </w:rPr>
        <w:t>第1节  竞争性磋商须知前附表</w:t>
      </w:r>
      <w:bookmarkEnd w:id="43"/>
      <w:bookmarkEnd w:id="44"/>
    </w:p>
    <w:p w14:paraId="7902B531">
      <w:pPr>
        <w:pStyle w:val="2"/>
        <w:spacing w:before="120" w:line="360" w:lineRule="auto"/>
        <w:jc w:val="center"/>
        <w:rPr>
          <w:rFonts w:ascii="宋体" w:hAnsi="宋体"/>
          <w:color w:val="auto"/>
          <w:szCs w:val="30"/>
        </w:rPr>
      </w:pPr>
      <w:bookmarkStart w:id="45" w:name="_Toc161736613"/>
      <w:bookmarkStart w:id="46" w:name="_Toc6372"/>
      <w:bookmarkStart w:id="47" w:name="_Toc29472"/>
      <w:r>
        <w:rPr>
          <w:rFonts w:hint="eastAsia" w:ascii="宋体" w:hAnsi="宋体"/>
          <w:color w:val="auto"/>
          <w:szCs w:val="30"/>
        </w:rPr>
        <w:t>供应商须知前附表</w:t>
      </w:r>
      <w:bookmarkEnd w:id="45"/>
      <w:bookmarkEnd w:id="46"/>
      <w:bookmarkEnd w:id="47"/>
    </w:p>
    <w:p w14:paraId="21186D0F">
      <w:pPr>
        <w:pStyle w:val="26"/>
        <w:widowControl/>
        <w:spacing w:before="75" w:beforeAutospacing="0" w:after="75" w:afterAutospacing="0" w:line="435" w:lineRule="atLeast"/>
        <w:ind w:firstLine="480"/>
        <w:rPr>
          <w:rStyle w:val="34"/>
          <w:rFonts w:hint="eastAsia" w:asciiTheme="minorEastAsia" w:hAnsiTheme="minorEastAsia" w:cstheme="minorEastAsia"/>
          <w:color w:val="auto"/>
          <w:sz w:val="28"/>
          <w:szCs w:val="28"/>
        </w:rPr>
      </w:pPr>
      <w:r>
        <w:rPr>
          <w:rFonts w:hint="eastAsia" w:ascii="宋体" w:hAnsi="宋体"/>
          <w:color w:val="auto"/>
        </w:rPr>
        <w:t>本须知前附表的条款号是与《供应商须知》中条款的项号相对应的。如果有矛盾的话，应以本须知前附表为准。本章内容与其它章内容如有冲突的，应以本章内容为准。</w:t>
      </w:r>
    </w:p>
    <w:tbl>
      <w:tblPr>
        <w:tblStyle w:val="31"/>
        <w:tblW w:w="1017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137"/>
        <w:gridCol w:w="8085"/>
      </w:tblGrid>
      <w:tr w14:paraId="6A96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tcPr>
          <w:p w14:paraId="4E0712F4">
            <w:pPr>
              <w:spacing w:before="156" w:beforeLines="50" w:line="360" w:lineRule="auto"/>
              <w:jc w:val="center"/>
              <w:rPr>
                <w:rFonts w:hint="eastAsia" w:ascii="宋体" w:hAnsi="宋体"/>
                <w:b/>
                <w:color w:val="auto"/>
                <w:sz w:val="24"/>
              </w:rPr>
            </w:pPr>
            <w:r>
              <w:rPr>
                <w:rFonts w:hint="eastAsia" w:ascii="宋体" w:hAnsi="宋体"/>
                <w:b/>
                <w:color w:val="auto"/>
                <w:sz w:val="24"/>
              </w:rPr>
              <w:t>项号</w:t>
            </w:r>
          </w:p>
        </w:tc>
        <w:tc>
          <w:tcPr>
            <w:tcW w:w="1137" w:type="dxa"/>
          </w:tcPr>
          <w:p w14:paraId="6058DDDC">
            <w:pPr>
              <w:spacing w:before="156" w:beforeLines="50" w:line="360" w:lineRule="auto"/>
              <w:jc w:val="center"/>
              <w:rPr>
                <w:rFonts w:hint="eastAsia" w:ascii="宋体" w:hAnsi="宋体"/>
                <w:b/>
                <w:color w:val="auto"/>
                <w:sz w:val="24"/>
              </w:rPr>
            </w:pPr>
            <w:r>
              <w:rPr>
                <w:rFonts w:hint="eastAsia" w:ascii="宋体" w:hAnsi="宋体"/>
                <w:b/>
                <w:color w:val="auto"/>
                <w:sz w:val="24"/>
              </w:rPr>
              <w:t>条款号</w:t>
            </w:r>
          </w:p>
        </w:tc>
        <w:tc>
          <w:tcPr>
            <w:tcW w:w="8085" w:type="dxa"/>
          </w:tcPr>
          <w:p w14:paraId="05107CD2">
            <w:pPr>
              <w:spacing w:before="156" w:beforeLines="50" w:line="360" w:lineRule="auto"/>
              <w:jc w:val="center"/>
              <w:rPr>
                <w:rFonts w:hint="eastAsia" w:ascii="宋体" w:hAnsi="宋体"/>
                <w:b/>
                <w:color w:val="auto"/>
                <w:sz w:val="24"/>
              </w:rPr>
            </w:pPr>
            <w:r>
              <w:rPr>
                <w:rFonts w:hint="eastAsia" w:ascii="宋体" w:hAnsi="宋体"/>
                <w:b/>
                <w:color w:val="auto"/>
                <w:sz w:val="24"/>
              </w:rPr>
              <w:t>编</w:t>
            </w:r>
            <w:r>
              <w:rPr>
                <w:rFonts w:ascii="宋体" w:hAnsi="宋体"/>
                <w:b/>
                <w:color w:val="auto"/>
                <w:sz w:val="24"/>
              </w:rPr>
              <w:t xml:space="preserve">   </w:t>
            </w:r>
            <w:r>
              <w:rPr>
                <w:rFonts w:hint="eastAsia" w:ascii="宋体" w:hAnsi="宋体"/>
                <w:b/>
                <w:color w:val="auto"/>
                <w:sz w:val="24"/>
              </w:rPr>
              <w:t>列</w:t>
            </w:r>
            <w:r>
              <w:rPr>
                <w:rFonts w:ascii="宋体" w:hAnsi="宋体"/>
                <w:b/>
                <w:color w:val="auto"/>
                <w:sz w:val="24"/>
              </w:rPr>
              <w:t xml:space="preserve">   </w:t>
            </w:r>
            <w:r>
              <w:rPr>
                <w:rFonts w:hint="eastAsia" w:ascii="宋体" w:hAnsi="宋体"/>
                <w:b/>
                <w:color w:val="auto"/>
                <w:sz w:val="24"/>
              </w:rPr>
              <w:t>内</w:t>
            </w:r>
            <w:r>
              <w:rPr>
                <w:rFonts w:ascii="宋体" w:hAnsi="宋体"/>
                <w:b/>
                <w:color w:val="auto"/>
                <w:sz w:val="24"/>
              </w:rPr>
              <w:t xml:space="preserve">    </w:t>
            </w:r>
            <w:r>
              <w:rPr>
                <w:rFonts w:hint="eastAsia" w:ascii="宋体" w:hAnsi="宋体"/>
                <w:b/>
                <w:color w:val="auto"/>
                <w:sz w:val="24"/>
              </w:rPr>
              <w:t>容</w:t>
            </w:r>
          </w:p>
        </w:tc>
      </w:tr>
      <w:tr w14:paraId="7599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39FC9004">
            <w:pPr>
              <w:spacing w:before="156" w:beforeLines="50" w:line="360" w:lineRule="auto"/>
              <w:jc w:val="center"/>
              <w:rPr>
                <w:rFonts w:hint="eastAsia" w:ascii="宋体" w:hAnsi="宋体"/>
                <w:color w:val="auto"/>
                <w:sz w:val="24"/>
              </w:rPr>
            </w:pPr>
            <w:r>
              <w:rPr>
                <w:rFonts w:ascii="宋体" w:hAnsi="宋体"/>
                <w:color w:val="auto"/>
                <w:sz w:val="24"/>
              </w:rPr>
              <w:t>1</w:t>
            </w:r>
          </w:p>
        </w:tc>
        <w:tc>
          <w:tcPr>
            <w:tcW w:w="1137" w:type="dxa"/>
            <w:vAlign w:val="center"/>
          </w:tcPr>
          <w:p w14:paraId="6FB823B6">
            <w:pPr>
              <w:spacing w:before="156" w:beforeLines="50" w:line="360" w:lineRule="auto"/>
              <w:jc w:val="center"/>
              <w:rPr>
                <w:rFonts w:hint="eastAsia" w:ascii="宋体" w:hAnsi="宋体"/>
                <w:color w:val="auto"/>
                <w:sz w:val="24"/>
              </w:rPr>
            </w:pPr>
            <w:r>
              <w:rPr>
                <w:rFonts w:ascii="宋体" w:hAnsi="宋体"/>
                <w:color w:val="auto"/>
                <w:sz w:val="24"/>
              </w:rPr>
              <w:t>1</w:t>
            </w:r>
          </w:p>
        </w:tc>
        <w:tc>
          <w:tcPr>
            <w:tcW w:w="8085" w:type="dxa"/>
            <w:vAlign w:val="center"/>
          </w:tcPr>
          <w:p w14:paraId="1060F34A">
            <w:pPr>
              <w:spacing w:before="156" w:beforeLines="50" w:line="360" w:lineRule="auto"/>
              <w:rPr>
                <w:rFonts w:hint="eastAsia" w:ascii="宋体" w:hAnsi="宋体" w:eastAsiaTheme="minorEastAsia"/>
                <w:color w:val="auto"/>
                <w:sz w:val="24"/>
                <w:lang w:eastAsia="zh-CN"/>
              </w:rPr>
            </w:pPr>
            <w:r>
              <w:rPr>
                <w:rFonts w:hint="eastAsia" w:ascii="宋体" w:hAnsi="宋体"/>
                <w:b/>
                <w:color w:val="auto"/>
                <w:sz w:val="24"/>
              </w:rPr>
              <w:t>项目名称：</w:t>
            </w:r>
            <w:r>
              <w:rPr>
                <w:rFonts w:hint="eastAsia" w:ascii="宋体" w:hAnsi="宋体"/>
                <w:color w:val="auto"/>
                <w:sz w:val="24"/>
                <w:lang w:eastAsia="zh-CN"/>
              </w:rPr>
              <w:t>2026至2027年度小规模工程施工单位采购项目</w:t>
            </w:r>
          </w:p>
          <w:p w14:paraId="5A1B56D0">
            <w:pPr>
              <w:spacing w:before="156" w:beforeLines="50" w:line="360" w:lineRule="auto"/>
              <w:rPr>
                <w:rFonts w:hint="eastAsia" w:ascii="宋体" w:hAnsi="宋体" w:eastAsiaTheme="minorEastAsia"/>
                <w:color w:val="auto"/>
                <w:sz w:val="24"/>
                <w:lang w:eastAsia="zh-CN"/>
              </w:rPr>
            </w:pPr>
            <w:r>
              <w:rPr>
                <w:rFonts w:hint="eastAsia" w:ascii="宋体" w:hAnsi="宋体"/>
                <w:b/>
                <w:color w:val="auto"/>
                <w:sz w:val="24"/>
              </w:rPr>
              <w:t>项目编号：</w:t>
            </w:r>
            <w:r>
              <w:rPr>
                <w:rFonts w:hint="eastAsia" w:ascii="宋体" w:hAnsi="宋体"/>
                <w:color w:val="auto"/>
                <w:sz w:val="24"/>
                <w:lang w:eastAsia="zh-CN"/>
              </w:rPr>
              <w:t>FJLQ20260051</w:t>
            </w:r>
          </w:p>
          <w:p w14:paraId="6E8BB023">
            <w:pPr>
              <w:spacing w:before="156" w:beforeLines="50" w:line="360" w:lineRule="auto"/>
              <w:rPr>
                <w:rFonts w:hint="eastAsia" w:ascii="宋体" w:hAnsi="宋体" w:eastAsiaTheme="minorEastAsia"/>
                <w:color w:val="auto"/>
                <w:sz w:val="24"/>
                <w:u w:val="single"/>
                <w:lang w:eastAsia="zh-CN"/>
              </w:rPr>
            </w:pPr>
            <w:r>
              <w:rPr>
                <w:rFonts w:hint="eastAsia" w:ascii="宋体" w:hAnsi="宋体"/>
                <w:b/>
                <w:color w:val="auto"/>
                <w:sz w:val="24"/>
              </w:rPr>
              <w:t>采 购 人：</w:t>
            </w:r>
            <w:r>
              <w:rPr>
                <w:rFonts w:hint="eastAsia" w:ascii="宋体" w:hAnsi="宋体"/>
                <w:color w:val="auto"/>
                <w:sz w:val="24"/>
                <w:lang w:eastAsia="zh-CN"/>
              </w:rPr>
              <w:t>福建省楚源服饰有限责任公司</w:t>
            </w:r>
          </w:p>
        </w:tc>
      </w:tr>
      <w:tr w14:paraId="31CC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0AEA549D">
            <w:pPr>
              <w:spacing w:before="156" w:beforeLines="50" w:line="360" w:lineRule="auto"/>
              <w:jc w:val="center"/>
              <w:rPr>
                <w:rFonts w:hint="eastAsia" w:ascii="宋体" w:hAnsi="宋体"/>
                <w:color w:val="auto"/>
                <w:sz w:val="24"/>
              </w:rPr>
            </w:pPr>
            <w:r>
              <w:rPr>
                <w:rFonts w:ascii="宋体" w:hAnsi="宋体"/>
                <w:color w:val="auto"/>
                <w:sz w:val="24"/>
              </w:rPr>
              <w:t>2</w:t>
            </w:r>
          </w:p>
        </w:tc>
        <w:tc>
          <w:tcPr>
            <w:tcW w:w="1137" w:type="dxa"/>
            <w:vAlign w:val="center"/>
          </w:tcPr>
          <w:p w14:paraId="2DD5209A">
            <w:pPr>
              <w:spacing w:before="156" w:beforeLines="50" w:line="360" w:lineRule="auto"/>
              <w:jc w:val="center"/>
              <w:rPr>
                <w:rFonts w:hint="eastAsia" w:ascii="宋体" w:hAnsi="宋体"/>
                <w:color w:val="auto"/>
                <w:sz w:val="24"/>
              </w:rPr>
            </w:pPr>
            <w:r>
              <w:rPr>
                <w:rFonts w:ascii="宋体" w:hAnsi="宋体"/>
                <w:color w:val="auto"/>
                <w:sz w:val="24"/>
              </w:rPr>
              <w:t>3</w:t>
            </w:r>
          </w:p>
        </w:tc>
        <w:tc>
          <w:tcPr>
            <w:tcW w:w="8085" w:type="dxa"/>
            <w:vAlign w:val="center"/>
          </w:tcPr>
          <w:p w14:paraId="2AC14811">
            <w:pPr>
              <w:pStyle w:val="52"/>
              <w:ind w:firstLine="472" w:firstLineChars="196"/>
              <w:rPr>
                <w:rFonts w:hint="eastAsia" w:ascii="宋体" w:hAnsi="宋体" w:eastAsia="宋体"/>
                <w:b/>
                <w:color w:val="auto"/>
                <w:sz w:val="24"/>
              </w:rPr>
            </w:pPr>
            <w:r>
              <w:rPr>
                <w:rFonts w:hint="eastAsia" w:ascii="宋体" w:hAnsi="宋体"/>
                <w:b/>
                <w:color w:val="auto"/>
                <w:sz w:val="24"/>
              </w:rPr>
              <w:t>资格标准：</w:t>
            </w:r>
          </w:p>
          <w:p w14:paraId="190190DF">
            <w:pPr>
              <w:pStyle w:val="52"/>
              <w:ind w:firstLine="470" w:firstLineChars="196"/>
              <w:rPr>
                <w:rFonts w:hint="eastAsia" w:ascii="宋体" w:hAnsi="宋体"/>
                <w:color w:val="auto"/>
                <w:sz w:val="24"/>
              </w:rPr>
            </w:pPr>
            <w:r>
              <w:rPr>
                <w:rFonts w:ascii="宋体" w:hAnsi="宋体"/>
                <w:color w:val="auto"/>
                <w:sz w:val="24"/>
              </w:rPr>
              <w:t>（</w:t>
            </w:r>
            <w:r>
              <w:rPr>
                <w:color w:val="auto"/>
                <w:sz w:val="24"/>
              </w:rPr>
              <w:t>1</w:t>
            </w:r>
            <w:r>
              <w:rPr>
                <w:rFonts w:ascii="宋体" w:hAnsi="宋体"/>
                <w:color w:val="auto"/>
                <w:sz w:val="24"/>
              </w:rPr>
              <w:t>）</w:t>
            </w:r>
            <w:r>
              <w:rPr>
                <w:rFonts w:hint="eastAsia" w:ascii="宋体" w:hAnsi="宋体"/>
                <w:color w:val="auto"/>
                <w:sz w:val="24"/>
              </w:rPr>
              <w:t>磋商</w:t>
            </w:r>
            <w:r>
              <w:rPr>
                <w:rFonts w:ascii="宋体" w:hAnsi="宋体"/>
                <w:color w:val="auto"/>
                <w:sz w:val="24"/>
              </w:rPr>
              <w:t>响应声明</w:t>
            </w:r>
            <w:r>
              <w:rPr>
                <w:rFonts w:hint="eastAsia" w:ascii="宋体" w:hAnsi="宋体"/>
                <w:color w:val="auto"/>
                <w:sz w:val="24"/>
              </w:rPr>
              <w:t>；</w:t>
            </w:r>
          </w:p>
          <w:p w14:paraId="74C60139">
            <w:pPr>
              <w:pStyle w:val="52"/>
              <w:ind w:firstLine="470" w:firstLineChars="196"/>
              <w:rPr>
                <w:rFonts w:hint="eastAsia" w:ascii="宋体" w:hAnsi="宋体"/>
                <w:b/>
                <w:color w:val="auto"/>
                <w:sz w:val="24"/>
              </w:rPr>
            </w:pPr>
            <w:r>
              <w:rPr>
                <w:rFonts w:ascii="宋体" w:hAnsi="宋体"/>
                <w:color w:val="auto"/>
                <w:sz w:val="24"/>
              </w:rPr>
              <w:t>（2）供应商的</w:t>
            </w:r>
            <w:r>
              <w:rPr>
                <w:rFonts w:hint="eastAsia" w:ascii="宋体" w:hAnsi="宋体"/>
                <w:color w:val="auto"/>
                <w:sz w:val="24"/>
              </w:rPr>
              <w:t>资格证明文件：</w:t>
            </w:r>
          </w:p>
          <w:p w14:paraId="2DA874B7">
            <w:pPr>
              <w:pStyle w:val="52"/>
              <w:widowControl/>
              <w:spacing w:before="156" w:beforeLines="50"/>
              <w:ind w:left="0" w:firstLine="470" w:firstLineChars="196"/>
              <w:jc w:val="left"/>
              <w:rPr>
                <w:rFonts w:hint="eastAsia" w:ascii="宋体" w:hAnsi="宋体"/>
                <w:color w:val="auto"/>
                <w:sz w:val="24"/>
                <w:szCs w:val="24"/>
              </w:rPr>
            </w:pPr>
            <w:r>
              <w:rPr>
                <w:rFonts w:hint="eastAsia" w:ascii="宋体" w:hAnsi="宋体"/>
                <w:color w:val="auto"/>
                <w:sz w:val="24"/>
                <w:szCs w:val="24"/>
              </w:rPr>
              <w:t>①</w:t>
            </w:r>
            <w:r>
              <w:rPr>
                <w:rFonts w:hint="eastAsia" w:ascii="宋体" w:hAnsi="宋体" w:cs="Times New Roman"/>
                <w:color w:val="auto"/>
                <w:sz w:val="24"/>
                <w:szCs w:val="24"/>
              </w:rPr>
              <w:t>参加竞争性磋商的声明函及供应商的资格声明；</w:t>
            </w:r>
          </w:p>
          <w:p w14:paraId="0C952FFE">
            <w:pPr>
              <w:pStyle w:val="52"/>
              <w:widowControl/>
              <w:spacing w:before="156" w:beforeLines="50"/>
              <w:ind w:left="0" w:firstLine="470" w:firstLineChars="196"/>
              <w:jc w:val="left"/>
              <w:rPr>
                <w:rFonts w:hint="eastAsia" w:ascii="宋体" w:hAnsi="宋体"/>
                <w:color w:val="auto"/>
                <w:sz w:val="24"/>
                <w:szCs w:val="24"/>
              </w:rPr>
            </w:pPr>
            <w:r>
              <w:rPr>
                <w:rFonts w:hint="eastAsia" w:ascii="宋体" w:hAnsi="宋体"/>
                <w:color w:val="auto"/>
                <w:sz w:val="24"/>
                <w:szCs w:val="24"/>
              </w:rPr>
              <w:t>②</w:t>
            </w:r>
            <w:r>
              <w:rPr>
                <w:rFonts w:ascii="宋体" w:hAnsi="宋体"/>
                <w:color w:val="auto"/>
                <w:sz w:val="24"/>
                <w:szCs w:val="24"/>
              </w:rPr>
              <w:t>一般资格证明文件</w:t>
            </w:r>
            <w:r>
              <w:rPr>
                <w:rFonts w:hint="eastAsia" w:ascii="宋体" w:hAnsi="宋体"/>
                <w:color w:val="auto"/>
                <w:sz w:val="24"/>
                <w:szCs w:val="24"/>
              </w:rPr>
              <w:t>（法定条件）</w:t>
            </w:r>
            <w:r>
              <w:rPr>
                <w:rFonts w:ascii="宋体" w:hAnsi="宋体"/>
                <w:color w:val="auto"/>
                <w:sz w:val="24"/>
                <w:szCs w:val="24"/>
              </w:rPr>
              <w:t>：</w:t>
            </w:r>
            <w:r>
              <w:rPr>
                <w:rFonts w:hint="eastAsia" w:ascii="宋体" w:hAnsi="宋体"/>
                <w:color w:val="auto"/>
                <w:sz w:val="24"/>
                <w:szCs w:val="24"/>
              </w:rPr>
              <w:t>须按本须知前附表附件一及</w:t>
            </w:r>
            <w:r>
              <w:rPr>
                <w:rFonts w:hint="eastAsia" w:ascii="宋体" w:hAnsi="宋体" w:cs="Times New Roman"/>
                <w:color w:val="auto"/>
                <w:sz w:val="24"/>
                <w:szCs w:val="24"/>
              </w:rPr>
              <w:t>磋商</w:t>
            </w:r>
            <w:r>
              <w:rPr>
                <w:rFonts w:hint="eastAsia" w:ascii="宋体" w:hAnsi="宋体"/>
                <w:color w:val="auto"/>
                <w:sz w:val="24"/>
                <w:szCs w:val="24"/>
              </w:rPr>
              <w:t>文件第五章格式要求提供相关材料；</w:t>
            </w:r>
          </w:p>
          <w:p w14:paraId="3B215353">
            <w:pPr>
              <w:pStyle w:val="52"/>
              <w:widowControl/>
              <w:spacing w:before="156" w:beforeLines="50"/>
              <w:ind w:left="0" w:firstLine="472" w:firstLineChars="196"/>
              <w:jc w:val="left"/>
              <w:rPr>
                <w:rFonts w:hint="eastAsia" w:ascii="宋体" w:hAnsi="宋体"/>
                <w:b/>
                <w:bCs/>
                <w:color w:val="auto"/>
                <w:sz w:val="24"/>
                <w:szCs w:val="24"/>
              </w:rPr>
            </w:pPr>
            <w:r>
              <w:rPr>
                <w:rFonts w:hint="eastAsia" w:ascii="宋体" w:hAnsi="宋体"/>
                <w:b/>
                <w:bCs/>
                <w:color w:val="auto"/>
                <w:sz w:val="24"/>
                <w:szCs w:val="24"/>
              </w:rPr>
              <w:t>③</w:t>
            </w:r>
            <w:r>
              <w:rPr>
                <w:rFonts w:ascii="宋体" w:hAnsi="宋体"/>
                <w:b/>
                <w:bCs/>
                <w:color w:val="auto"/>
                <w:sz w:val="24"/>
                <w:szCs w:val="24"/>
              </w:rPr>
              <w:t>其他资格证明文件</w:t>
            </w:r>
            <w:r>
              <w:rPr>
                <w:rFonts w:hint="eastAsia" w:ascii="宋体" w:hAnsi="宋体"/>
                <w:b/>
                <w:bCs/>
                <w:color w:val="auto"/>
                <w:sz w:val="24"/>
                <w:szCs w:val="24"/>
              </w:rPr>
              <w:t>（特定条件）</w:t>
            </w:r>
            <w:r>
              <w:rPr>
                <w:rFonts w:ascii="宋体" w:hAnsi="宋体"/>
                <w:b/>
                <w:bCs/>
                <w:color w:val="auto"/>
                <w:sz w:val="24"/>
                <w:szCs w:val="24"/>
              </w:rPr>
              <w:t>：</w:t>
            </w:r>
          </w:p>
          <w:p w14:paraId="3372BE97">
            <w:pPr>
              <w:pStyle w:val="52"/>
              <w:spacing w:before="156" w:beforeLines="50"/>
              <w:ind w:firstLine="472" w:firstLineChars="196"/>
              <w:rPr>
                <w:rFonts w:hint="eastAsia" w:ascii="宋体" w:hAnsi="宋体" w:cs="宋体"/>
                <w:b/>
                <w:bCs/>
                <w:color w:val="auto"/>
                <w:sz w:val="24"/>
                <w:szCs w:val="24"/>
                <w:lang w:val="en-US" w:eastAsia="zh-CN"/>
              </w:rPr>
            </w:pPr>
            <w:r>
              <w:rPr>
                <w:rFonts w:hint="eastAsia" w:ascii="宋体" w:hAnsi="宋体"/>
                <w:b/>
                <w:bCs/>
                <w:color w:val="auto"/>
                <w:sz w:val="24"/>
                <w:szCs w:val="24"/>
              </w:rPr>
              <w:t>③</w:t>
            </w:r>
            <w:r>
              <w:rPr>
                <w:rFonts w:hint="eastAsia" w:ascii="宋体" w:hAnsi="宋体" w:cs="宋体"/>
                <w:b/>
                <w:bCs/>
                <w:color w:val="auto"/>
                <w:sz w:val="24"/>
                <w:szCs w:val="24"/>
                <w:lang w:val="en-US" w:eastAsia="zh-CN"/>
              </w:rPr>
              <w:t>-1供应商须具备建设行政主管部门核发合法有效的房屋建筑工程施工总承包三级及以上资质、市政公用工程施工总承包三级及以上资质和《施工企业安全生产许可证》。注：若资质证书有效期届满的，有公布统一延期时间的，以磋商小组通过“全国建筑市场监管公共服务平台”现场查询有效期为准。</w:t>
            </w:r>
          </w:p>
          <w:p w14:paraId="7326A875">
            <w:pPr>
              <w:pStyle w:val="52"/>
              <w:spacing w:before="156" w:beforeLines="50"/>
              <w:ind w:firstLine="472" w:firstLineChars="196"/>
              <w:rPr>
                <w:rFonts w:hint="eastAsia" w:ascii="宋体" w:hAnsi="宋体" w:cs="宋体"/>
                <w:b/>
                <w:bCs/>
                <w:color w:val="auto"/>
                <w:sz w:val="24"/>
                <w:szCs w:val="24"/>
                <w:lang w:val="en-US" w:eastAsia="zh-CN"/>
              </w:rPr>
            </w:pPr>
            <w:r>
              <w:rPr>
                <w:rFonts w:hint="eastAsia" w:ascii="宋体" w:hAnsi="宋体"/>
                <w:b/>
                <w:bCs/>
                <w:color w:val="auto"/>
                <w:sz w:val="24"/>
                <w:szCs w:val="24"/>
              </w:rPr>
              <w:t>③</w:t>
            </w:r>
            <w:r>
              <w:rPr>
                <w:rFonts w:hint="eastAsia" w:ascii="宋体" w:hAnsi="宋体" w:cs="宋体"/>
                <w:b/>
                <w:bCs/>
                <w:color w:val="auto"/>
                <w:sz w:val="24"/>
                <w:szCs w:val="24"/>
                <w:lang w:val="en-US" w:eastAsia="zh-CN"/>
              </w:rPr>
              <w:t>-2供应商拟担任本项目的项目负责人1（即项目经理1）须具备有效的不低于贰级建筑工程专业注册建造师执业资格，并提供有效的安全生产考核合格证书（B证）。项目负责人2（即项目经理2）须具备有效的不低于贰级市政公用工程注册建造师执业资格，并提供有效的安全生产考核合格证书（B证）。拟派出项目负责人必须为供应商的本企业在岗人员，以建设主管部门颁发的注册执业证书复印件所署单位为准。注：若1名项目负责人同时具备上述项目负责人1、项目负责人2条件的，视同满足以上要求。</w:t>
            </w:r>
          </w:p>
          <w:p w14:paraId="6D6DBC37">
            <w:pPr>
              <w:pStyle w:val="52"/>
              <w:spacing w:before="156" w:beforeLines="50"/>
              <w:ind w:firstLine="472" w:firstLineChars="196"/>
              <w:rPr>
                <w:rFonts w:hint="default" w:ascii="宋体" w:hAnsi="宋体" w:eastAsia="宋体" w:cs="宋体"/>
                <w:color w:val="auto"/>
                <w:sz w:val="24"/>
                <w:szCs w:val="24"/>
                <w:lang w:val="en-US" w:eastAsia="zh-CN"/>
              </w:rPr>
            </w:pPr>
            <w:r>
              <w:rPr>
                <w:rFonts w:hint="eastAsia" w:ascii="宋体" w:hAnsi="宋体" w:cs="宋体"/>
                <w:b/>
                <w:bCs/>
                <w:color w:val="auto"/>
                <w:sz w:val="24"/>
                <w:szCs w:val="24"/>
                <w:lang w:val="en-US" w:eastAsia="zh-CN"/>
              </w:rPr>
              <w:t>③-3供应商没有被列入景弘集团有限公司或福建省楚源服饰有限责任公司不良行为记录名单的承诺函</w:t>
            </w:r>
            <w:r>
              <w:rPr>
                <w:rFonts w:hint="eastAsia" w:ascii="宋体" w:hAnsi="宋体" w:eastAsia="宋体" w:cs="宋体"/>
                <w:b/>
                <w:bCs/>
                <w:color w:val="auto"/>
                <w:sz w:val="24"/>
                <w:szCs w:val="24"/>
                <w:lang w:val="en-US" w:eastAsia="zh-CN"/>
              </w:rPr>
              <w:t>。</w:t>
            </w:r>
          </w:p>
        </w:tc>
      </w:tr>
      <w:tr w14:paraId="7E88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948" w:type="dxa"/>
            <w:vAlign w:val="center"/>
          </w:tcPr>
          <w:p w14:paraId="5A895C54">
            <w:pPr>
              <w:spacing w:before="156" w:beforeLines="50" w:line="360" w:lineRule="auto"/>
              <w:jc w:val="center"/>
              <w:rPr>
                <w:rFonts w:hint="eastAsia" w:ascii="宋体" w:hAnsi="宋体"/>
                <w:color w:val="auto"/>
                <w:sz w:val="24"/>
              </w:rPr>
            </w:pPr>
            <w:r>
              <w:rPr>
                <w:rFonts w:ascii="宋体" w:hAnsi="宋体"/>
                <w:color w:val="auto"/>
                <w:sz w:val="24"/>
              </w:rPr>
              <w:t>3</w:t>
            </w:r>
          </w:p>
        </w:tc>
        <w:tc>
          <w:tcPr>
            <w:tcW w:w="1137" w:type="dxa"/>
            <w:vAlign w:val="center"/>
          </w:tcPr>
          <w:p w14:paraId="6FB79508">
            <w:pPr>
              <w:spacing w:before="156" w:beforeLines="50" w:line="360" w:lineRule="auto"/>
              <w:jc w:val="center"/>
              <w:rPr>
                <w:rFonts w:hint="eastAsia" w:ascii="宋体" w:hAnsi="宋体"/>
                <w:color w:val="auto"/>
                <w:sz w:val="24"/>
              </w:rPr>
            </w:pPr>
            <w:r>
              <w:rPr>
                <w:rFonts w:hint="eastAsia" w:ascii="宋体" w:hAnsi="宋体"/>
                <w:color w:val="auto"/>
                <w:sz w:val="24"/>
              </w:rPr>
              <w:t>10</w:t>
            </w:r>
          </w:p>
        </w:tc>
        <w:tc>
          <w:tcPr>
            <w:tcW w:w="8085" w:type="dxa"/>
            <w:vAlign w:val="center"/>
          </w:tcPr>
          <w:p w14:paraId="3B2D4E0F">
            <w:pPr>
              <w:spacing w:before="156" w:beforeLines="50" w:line="360" w:lineRule="auto"/>
              <w:rPr>
                <w:rFonts w:hint="eastAsia" w:ascii="宋体" w:hAnsi="宋体"/>
                <w:color w:val="auto"/>
                <w:sz w:val="24"/>
              </w:rPr>
            </w:pPr>
            <w:r>
              <w:rPr>
                <w:rFonts w:hint="eastAsia" w:ascii="宋体" w:hAnsi="宋体"/>
                <w:b/>
                <w:color w:val="auto"/>
                <w:sz w:val="24"/>
              </w:rPr>
              <w:t>响应文件组成：</w:t>
            </w:r>
            <w:r>
              <w:rPr>
                <w:rFonts w:hint="eastAsia" w:ascii="宋体" w:hAnsi="宋体"/>
                <w:color w:val="auto"/>
                <w:sz w:val="24"/>
              </w:rPr>
              <w:t>供应商须编制包括</w:t>
            </w:r>
            <w:r>
              <w:rPr>
                <w:rFonts w:hint="eastAsia" w:ascii="宋体" w:hAnsi="宋体"/>
                <w:bCs/>
                <w:color w:val="auto"/>
                <w:sz w:val="24"/>
              </w:rPr>
              <w:t>磋商文件及其附件（如有）</w:t>
            </w:r>
            <w:r>
              <w:rPr>
                <w:rFonts w:hint="eastAsia" w:ascii="宋体" w:hAnsi="宋体"/>
                <w:color w:val="auto"/>
                <w:sz w:val="24"/>
              </w:rPr>
              <w:t>所规定的全部内容的响应文件正本一份，副本三份，电子档</w:t>
            </w:r>
            <w:r>
              <w:rPr>
                <w:rFonts w:hint="eastAsia" w:ascii="宋体" w:hAnsi="宋体"/>
                <w:color w:val="auto"/>
                <w:sz w:val="24"/>
                <w:lang w:val="en-US" w:eastAsia="zh-CN"/>
              </w:rPr>
              <w:t>(盖公章pdf版）</w:t>
            </w:r>
            <w:r>
              <w:rPr>
                <w:rFonts w:hint="eastAsia" w:ascii="宋体" w:hAnsi="宋体"/>
                <w:color w:val="auto"/>
                <w:sz w:val="24"/>
              </w:rPr>
              <w:t>一份。</w:t>
            </w:r>
          </w:p>
        </w:tc>
      </w:tr>
      <w:tr w14:paraId="3EE7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4020E7D6">
            <w:pPr>
              <w:spacing w:before="156" w:beforeLines="50" w:line="360" w:lineRule="auto"/>
              <w:jc w:val="center"/>
              <w:rPr>
                <w:rFonts w:hint="eastAsia" w:ascii="宋体" w:hAnsi="宋体"/>
                <w:color w:val="auto"/>
                <w:sz w:val="24"/>
              </w:rPr>
            </w:pPr>
            <w:r>
              <w:rPr>
                <w:rFonts w:ascii="宋体" w:hAnsi="宋体"/>
                <w:color w:val="auto"/>
                <w:sz w:val="24"/>
              </w:rPr>
              <w:t>4</w:t>
            </w:r>
          </w:p>
        </w:tc>
        <w:tc>
          <w:tcPr>
            <w:tcW w:w="1137" w:type="dxa"/>
            <w:vAlign w:val="center"/>
          </w:tcPr>
          <w:p w14:paraId="6FA8462D">
            <w:pPr>
              <w:spacing w:before="156" w:beforeLines="50" w:line="360" w:lineRule="auto"/>
              <w:jc w:val="center"/>
              <w:rPr>
                <w:rFonts w:hint="eastAsia" w:ascii="宋体" w:hAnsi="宋体"/>
                <w:color w:val="auto"/>
                <w:sz w:val="24"/>
              </w:rPr>
            </w:pPr>
            <w:r>
              <w:rPr>
                <w:rFonts w:hint="eastAsia" w:ascii="宋体" w:hAnsi="宋体"/>
                <w:color w:val="auto"/>
                <w:sz w:val="24"/>
              </w:rPr>
              <w:t>11</w:t>
            </w:r>
          </w:p>
        </w:tc>
        <w:tc>
          <w:tcPr>
            <w:tcW w:w="8085" w:type="dxa"/>
            <w:vAlign w:val="center"/>
          </w:tcPr>
          <w:p w14:paraId="7FFD048E">
            <w:pPr>
              <w:spacing w:before="156" w:beforeLines="50" w:line="360" w:lineRule="auto"/>
              <w:rPr>
                <w:rFonts w:hint="eastAsia" w:ascii="宋体" w:hAnsi="宋体"/>
                <w:color w:val="auto"/>
                <w:sz w:val="24"/>
              </w:rPr>
            </w:pPr>
            <w:r>
              <w:rPr>
                <w:rFonts w:hint="eastAsia" w:ascii="宋体" w:hAnsi="宋体"/>
                <w:b/>
                <w:color w:val="auto"/>
                <w:sz w:val="24"/>
              </w:rPr>
              <w:t>响应有效期：</w:t>
            </w:r>
            <w:r>
              <w:rPr>
                <w:rFonts w:hint="eastAsia" w:ascii="宋体" w:hAnsi="宋体"/>
                <w:color w:val="auto"/>
                <w:sz w:val="24"/>
              </w:rPr>
              <w:t>报价截止期结束后</w:t>
            </w:r>
            <w:r>
              <w:rPr>
                <w:rFonts w:ascii="宋体" w:hAnsi="宋体"/>
                <w:color w:val="auto"/>
                <w:sz w:val="24"/>
                <w:u w:val="single"/>
              </w:rPr>
              <w:t xml:space="preserve"> </w:t>
            </w:r>
            <w:r>
              <w:rPr>
                <w:rFonts w:hint="eastAsia" w:ascii="宋体" w:hAnsi="宋体"/>
                <w:color w:val="auto"/>
                <w:sz w:val="24"/>
                <w:u w:val="single"/>
              </w:rPr>
              <w:t>90</w:t>
            </w:r>
            <w:r>
              <w:rPr>
                <w:rFonts w:ascii="宋体" w:hAnsi="宋体"/>
                <w:color w:val="auto"/>
                <w:sz w:val="24"/>
                <w:u w:val="single"/>
              </w:rPr>
              <w:t xml:space="preserve"> </w:t>
            </w:r>
            <w:r>
              <w:rPr>
                <w:rFonts w:hint="eastAsia" w:ascii="宋体" w:hAnsi="宋体"/>
                <w:color w:val="auto"/>
                <w:sz w:val="24"/>
              </w:rPr>
              <w:t>日历日。</w:t>
            </w:r>
          </w:p>
          <w:p w14:paraId="07443C08">
            <w:pPr>
              <w:spacing w:before="156" w:beforeLines="50" w:line="360" w:lineRule="auto"/>
              <w:rPr>
                <w:rFonts w:hint="eastAsia" w:ascii="宋体" w:hAnsi="宋体"/>
                <w:b/>
                <w:color w:val="auto"/>
                <w:sz w:val="24"/>
              </w:rPr>
            </w:pPr>
            <w:r>
              <w:rPr>
                <w:rFonts w:hint="eastAsia" w:ascii="宋体" w:hAnsi="宋体"/>
                <w:b/>
                <w:color w:val="auto"/>
                <w:sz w:val="24"/>
              </w:rPr>
              <w:t>有效期不足将导致其响应文件被拒绝。</w:t>
            </w:r>
          </w:p>
        </w:tc>
      </w:tr>
      <w:tr w14:paraId="5CB2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581878F1">
            <w:pPr>
              <w:spacing w:before="156" w:beforeLines="50" w:line="360" w:lineRule="auto"/>
              <w:jc w:val="center"/>
              <w:rPr>
                <w:rFonts w:hint="eastAsia" w:ascii="宋体" w:hAnsi="宋体"/>
                <w:color w:val="auto"/>
                <w:sz w:val="24"/>
              </w:rPr>
            </w:pPr>
            <w:r>
              <w:rPr>
                <w:rFonts w:hint="eastAsia" w:ascii="宋体" w:hAnsi="宋体"/>
                <w:color w:val="auto"/>
                <w:sz w:val="24"/>
              </w:rPr>
              <w:t>5</w:t>
            </w:r>
          </w:p>
        </w:tc>
        <w:tc>
          <w:tcPr>
            <w:tcW w:w="1137" w:type="dxa"/>
            <w:vAlign w:val="center"/>
          </w:tcPr>
          <w:p w14:paraId="25AD5B74">
            <w:pPr>
              <w:spacing w:before="156" w:beforeLines="50" w:line="360" w:lineRule="auto"/>
              <w:rPr>
                <w:rFonts w:hint="eastAsia" w:ascii="宋体" w:hAnsi="宋体"/>
                <w:color w:val="auto"/>
                <w:sz w:val="24"/>
              </w:rPr>
            </w:pPr>
          </w:p>
        </w:tc>
        <w:tc>
          <w:tcPr>
            <w:tcW w:w="8085" w:type="dxa"/>
            <w:vAlign w:val="center"/>
          </w:tcPr>
          <w:p w14:paraId="3DD09D96">
            <w:pPr>
              <w:spacing w:before="156" w:beforeLines="50" w:line="360" w:lineRule="auto"/>
              <w:rPr>
                <w:rFonts w:hint="eastAsia" w:ascii="宋体" w:hAnsi="宋体"/>
                <w:b/>
                <w:color w:val="auto"/>
                <w:sz w:val="24"/>
              </w:rPr>
            </w:pPr>
            <w:r>
              <w:rPr>
                <w:rFonts w:hint="eastAsia" w:ascii="宋体" w:hAnsi="宋体"/>
                <w:b/>
                <w:color w:val="auto"/>
                <w:sz w:val="24"/>
              </w:rPr>
              <w:t>响应文件递交截止时间：</w:t>
            </w:r>
            <w:r>
              <w:rPr>
                <w:rFonts w:hint="eastAsia" w:ascii="宋体" w:hAnsi="宋体"/>
                <w:color w:val="auto"/>
                <w:sz w:val="24"/>
              </w:rPr>
              <w:t>详见《第一章 磋商邀请》</w:t>
            </w:r>
          </w:p>
          <w:p w14:paraId="0AA7660C">
            <w:pPr>
              <w:spacing w:before="156" w:beforeLines="50" w:line="360" w:lineRule="auto"/>
              <w:rPr>
                <w:rFonts w:hint="eastAsia" w:ascii="宋体" w:hAnsi="宋体"/>
                <w:color w:val="auto"/>
                <w:sz w:val="24"/>
              </w:rPr>
            </w:pPr>
            <w:r>
              <w:rPr>
                <w:rFonts w:hint="eastAsia" w:ascii="宋体" w:hAnsi="宋体"/>
                <w:b/>
                <w:color w:val="auto"/>
                <w:sz w:val="24"/>
              </w:rPr>
              <w:t>响应文件递交地址：</w:t>
            </w:r>
            <w:r>
              <w:rPr>
                <w:rFonts w:hint="eastAsia" w:ascii="宋体" w:hAnsi="宋体"/>
                <w:color w:val="auto"/>
                <w:sz w:val="24"/>
              </w:rPr>
              <w:t>详见《第一章 磋商邀请》</w:t>
            </w:r>
          </w:p>
          <w:p w14:paraId="2B7E5F1E">
            <w:pPr>
              <w:spacing w:before="156" w:beforeLines="50" w:line="360" w:lineRule="auto"/>
              <w:rPr>
                <w:rFonts w:hint="eastAsia" w:ascii="宋体" w:hAnsi="宋体"/>
                <w:b/>
                <w:color w:val="auto"/>
                <w:spacing w:val="-14"/>
                <w:sz w:val="24"/>
              </w:rPr>
            </w:pPr>
            <w:r>
              <w:rPr>
                <w:rFonts w:hint="eastAsia" w:ascii="宋体" w:hAnsi="宋体"/>
                <w:b/>
                <w:color w:val="auto"/>
                <w:sz w:val="24"/>
              </w:rPr>
              <w:t>响应文件接收人：</w:t>
            </w:r>
            <w:r>
              <w:rPr>
                <w:rFonts w:hint="eastAsia" w:ascii="宋体" w:hAnsi="宋体"/>
                <w:color w:val="auto"/>
                <w:sz w:val="24"/>
              </w:rPr>
              <w:t>福建立勤项目管理有限公司工作人员</w:t>
            </w:r>
          </w:p>
        </w:tc>
      </w:tr>
      <w:tr w14:paraId="1AAF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47D41CCC">
            <w:pPr>
              <w:spacing w:before="156" w:beforeLines="50" w:line="360" w:lineRule="auto"/>
              <w:jc w:val="center"/>
              <w:rPr>
                <w:rFonts w:hint="eastAsia" w:ascii="宋体" w:hAnsi="宋体"/>
                <w:color w:val="auto"/>
                <w:sz w:val="24"/>
              </w:rPr>
            </w:pPr>
            <w:r>
              <w:rPr>
                <w:rFonts w:hint="eastAsia" w:ascii="宋体" w:hAnsi="宋体"/>
                <w:color w:val="auto"/>
                <w:sz w:val="24"/>
              </w:rPr>
              <w:t>6</w:t>
            </w:r>
          </w:p>
        </w:tc>
        <w:tc>
          <w:tcPr>
            <w:tcW w:w="1137" w:type="dxa"/>
            <w:vAlign w:val="center"/>
          </w:tcPr>
          <w:p w14:paraId="017E23A0">
            <w:pPr>
              <w:spacing w:before="156" w:beforeLines="50" w:line="360" w:lineRule="auto"/>
              <w:jc w:val="center"/>
              <w:rPr>
                <w:rFonts w:hint="eastAsia" w:ascii="宋体" w:hAnsi="宋体"/>
                <w:color w:val="auto"/>
                <w:sz w:val="24"/>
              </w:rPr>
            </w:pPr>
            <w:r>
              <w:rPr>
                <w:rFonts w:hint="eastAsia" w:ascii="宋体" w:hAnsi="宋体"/>
                <w:color w:val="auto"/>
                <w:sz w:val="24"/>
              </w:rPr>
              <w:t>12</w:t>
            </w:r>
          </w:p>
        </w:tc>
        <w:tc>
          <w:tcPr>
            <w:tcW w:w="8085" w:type="dxa"/>
            <w:vAlign w:val="center"/>
          </w:tcPr>
          <w:p w14:paraId="0BDBB19A">
            <w:pPr>
              <w:adjustRightInd w:val="0"/>
              <w:snapToGrid w:val="0"/>
              <w:spacing w:before="156" w:beforeLines="50" w:line="360" w:lineRule="auto"/>
              <w:rPr>
                <w:rFonts w:hint="eastAsia" w:ascii="宋体" w:hAnsi="宋体"/>
                <w:color w:val="auto"/>
                <w:sz w:val="24"/>
              </w:rPr>
            </w:pPr>
            <w:r>
              <w:rPr>
                <w:rFonts w:hint="eastAsia" w:ascii="宋体" w:hAnsi="宋体"/>
                <w:b/>
                <w:color w:val="auto"/>
                <w:sz w:val="24"/>
              </w:rPr>
              <w:t>1）项目预算价：</w:t>
            </w:r>
            <w:r>
              <w:rPr>
                <w:rFonts w:hint="eastAsia" w:ascii="宋体" w:hAnsi="宋体"/>
                <w:color w:val="auto"/>
                <w:sz w:val="24"/>
              </w:rPr>
              <w:t>详见《磋商项目一览表》</w:t>
            </w:r>
          </w:p>
          <w:p w14:paraId="6DA1697A">
            <w:pPr>
              <w:adjustRightInd w:val="0"/>
              <w:snapToGrid w:val="0"/>
              <w:spacing w:before="156" w:beforeLines="50" w:line="360" w:lineRule="auto"/>
              <w:ind w:firstLine="590" w:firstLineChars="245"/>
              <w:rPr>
                <w:rFonts w:hint="eastAsia" w:ascii="宋体" w:hAnsi="宋体"/>
                <w:b/>
                <w:color w:val="auto"/>
                <w:sz w:val="24"/>
              </w:rPr>
            </w:pPr>
            <w:r>
              <w:rPr>
                <w:rFonts w:hint="eastAsia" w:ascii="宋体" w:hAnsi="宋体"/>
                <w:b/>
                <w:color w:val="auto"/>
                <w:sz w:val="24"/>
              </w:rPr>
              <w:t>（超过预算价的报价为无效报价）</w:t>
            </w:r>
          </w:p>
          <w:p w14:paraId="4ECC7CB5">
            <w:pPr>
              <w:spacing w:before="156" w:beforeLines="50" w:line="360" w:lineRule="auto"/>
              <w:rPr>
                <w:rFonts w:hint="eastAsia" w:ascii="宋体" w:hAnsi="宋体"/>
                <w:color w:val="auto"/>
                <w:sz w:val="24"/>
              </w:rPr>
            </w:pPr>
            <w:r>
              <w:rPr>
                <w:rFonts w:hint="eastAsia" w:ascii="宋体" w:hAnsi="宋体"/>
                <w:b/>
                <w:color w:val="auto"/>
                <w:sz w:val="24"/>
              </w:rPr>
              <w:t>2）磋商保证金：</w:t>
            </w:r>
            <w:r>
              <w:rPr>
                <w:rFonts w:hint="eastAsia" w:ascii="宋体" w:hAnsi="宋体"/>
                <w:color w:val="auto"/>
                <w:sz w:val="24"/>
              </w:rPr>
              <w:t xml:space="preserve"> </w:t>
            </w:r>
          </w:p>
          <w:p w14:paraId="1EA6DBE9">
            <w:pPr>
              <w:spacing w:before="156" w:beforeLines="50" w:line="360" w:lineRule="auto"/>
              <w:ind w:firstLine="482" w:firstLineChars="200"/>
              <w:rPr>
                <w:rFonts w:hint="eastAsia" w:ascii="宋体" w:hAnsi="宋体"/>
                <w:color w:val="auto"/>
                <w:sz w:val="24"/>
              </w:rPr>
            </w:pPr>
            <w:r>
              <w:rPr>
                <w:rFonts w:hint="eastAsia" w:ascii="宋体" w:hAnsi="宋体"/>
                <w:b/>
                <w:color w:val="auto"/>
                <w:sz w:val="24"/>
              </w:rPr>
              <w:t>2.1）磋商保证金金额：</w:t>
            </w:r>
            <w:r>
              <w:rPr>
                <w:rFonts w:hint="eastAsia" w:ascii="宋体" w:hAnsi="宋体"/>
                <w:color w:val="auto"/>
                <w:sz w:val="24"/>
              </w:rPr>
              <w:t>详见《磋商项目一览表》</w:t>
            </w:r>
          </w:p>
          <w:p w14:paraId="18E2BE8C">
            <w:pPr>
              <w:spacing w:before="156" w:beforeLines="50" w:line="360" w:lineRule="auto"/>
              <w:ind w:firstLine="482" w:firstLineChars="200"/>
              <w:rPr>
                <w:rFonts w:hint="eastAsia" w:ascii="宋体" w:hAnsi="宋体"/>
                <w:color w:val="auto"/>
                <w:sz w:val="24"/>
              </w:rPr>
            </w:pPr>
            <w:r>
              <w:rPr>
                <w:rFonts w:hint="eastAsia" w:ascii="宋体" w:hAnsi="宋体"/>
                <w:b/>
                <w:color w:val="auto"/>
                <w:sz w:val="24"/>
              </w:rPr>
              <w:t>2.2）磋商保证金的提交：</w:t>
            </w:r>
            <w:r>
              <w:rPr>
                <w:rFonts w:hint="eastAsia" w:ascii="宋体" w:hAnsi="宋体"/>
                <w:color w:val="auto"/>
                <w:sz w:val="24"/>
              </w:rPr>
              <w:t>供应商应以银行转账等</w:t>
            </w:r>
            <w:r>
              <w:rPr>
                <w:rFonts w:hint="eastAsia" w:ascii="宋体" w:hAnsi="宋体"/>
                <w:b/>
                <w:color w:val="auto"/>
                <w:sz w:val="24"/>
              </w:rPr>
              <w:t>公对公（非现金）形式</w:t>
            </w:r>
            <w:r>
              <w:rPr>
                <w:rFonts w:hint="eastAsia" w:ascii="宋体" w:hAnsi="宋体"/>
                <w:color w:val="auto"/>
                <w:sz w:val="24"/>
              </w:rPr>
              <w:t>向代理机构提交磋商保证金，并保证于</w:t>
            </w:r>
            <w:r>
              <w:rPr>
                <w:rFonts w:hint="eastAsia" w:ascii="宋体" w:hAnsi="宋体"/>
                <w:b/>
                <w:color w:val="auto"/>
                <w:sz w:val="24"/>
                <w:u w:val="single"/>
              </w:rPr>
              <w:t>响应文件递交截止时间之前</w:t>
            </w:r>
            <w:r>
              <w:rPr>
                <w:rFonts w:hint="eastAsia" w:ascii="宋体" w:hAnsi="宋体"/>
                <w:color w:val="auto"/>
                <w:sz w:val="24"/>
              </w:rPr>
              <w:t>到达指定账户上，磋商小组将以磋商保证金到账时间为依据进行确认。</w:t>
            </w:r>
            <w:r>
              <w:rPr>
                <w:rFonts w:hint="eastAsia" w:ascii="宋体" w:hAnsi="宋体"/>
                <w:b/>
                <w:color w:val="auto"/>
                <w:sz w:val="24"/>
              </w:rPr>
              <w:t>（请在磋商保证金转账单上注明“</w:t>
            </w:r>
            <w:r>
              <w:rPr>
                <w:rFonts w:hint="eastAsia" w:ascii="宋体" w:hAnsi="宋体"/>
                <w:b/>
                <w:color w:val="auto"/>
                <w:sz w:val="24"/>
                <w:lang w:eastAsia="zh-CN"/>
              </w:rPr>
              <w:t>FJLQ20260051</w:t>
            </w:r>
            <w:r>
              <w:rPr>
                <w:rFonts w:hint="eastAsia" w:ascii="宋体" w:hAnsi="宋体"/>
                <w:b/>
                <w:color w:val="auto"/>
                <w:sz w:val="24"/>
                <w:u w:val="single"/>
              </w:rPr>
              <w:t xml:space="preserve">包 </w:t>
            </w:r>
            <w:r>
              <w:rPr>
                <w:rFonts w:hint="eastAsia" w:ascii="宋体" w:hAnsi="宋体"/>
                <w:b/>
                <w:color w:val="auto"/>
                <w:sz w:val="24"/>
                <w:u w:val="single"/>
                <w:lang w:val="en-US" w:eastAsia="zh-CN"/>
              </w:rPr>
              <w:t>1</w:t>
            </w:r>
            <w:r>
              <w:rPr>
                <w:rFonts w:hint="eastAsia" w:ascii="宋体" w:hAnsi="宋体"/>
                <w:b/>
                <w:color w:val="auto"/>
                <w:sz w:val="24"/>
              </w:rPr>
              <w:t>保证金”等有关项目信息的类似字样。）</w:t>
            </w:r>
          </w:p>
          <w:p w14:paraId="52B8ED15">
            <w:pPr>
              <w:spacing w:before="156" w:beforeLines="50" w:line="360" w:lineRule="auto"/>
              <w:ind w:firstLine="482" w:firstLineChars="200"/>
              <w:rPr>
                <w:rFonts w:hint="eastAsia" w:ascii="宋体" w:hAnsi="宋体"/>
                <w:color w:val="auto"/>
                <w:sz w:val="24"/>
              </w:rPr>
            </w:pPr>
            <w:r>
              <w:rPr>
                <w:rFonts w:hint="eastAsia" w:ascii="宋体" w:hAnsi="宋体"/>
                <w:b/>
                <w:color w:val="auto"/>
                <w:sz w:val="24"/>
              </w:rPr>
              <w:t>2.3）磋商保证金的退还：</w:t>
            </w:r>
            <w:r>
              <w:rPr>
                <w:rFonts w:hint="eastAsia" w:ascii="宋体" w:hAnsi="宋体"/>
                <w:color w:val="auto"/>
                <w:sz w:val="24"/>
              </w:rPr>
              <w:t>见第一章中的《供应商应知》。</w:t>
            </w:r>
          </w:p>
        </w:tc>
      </w:tr>
      <w:tr w14:paraId="528F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tcBorders>
              <w:bottom w:val="single" w:color="auto" w:sz="4" w:space="0"/>
            </w:tcBorders>
            <w:vAlign w:val="center"/>
          </w:tcPr>
          <w:p w14:paraId="44921475">
            <w:pPr>
              <w:spacing w:before="156" w:beforeLines="50" w:line="360" w:lineRule="auto"/>
              <w:jc w:val="center"/>
              <w:rPr>
                <w:rFonts w:hint="eastAsia" w:ascii="宋体" w:hAnsi="宋体"/>
                <w:color w:val="auto"/>
                <w:sz w:val="24"/>
              </w:rPr>
            </w:pPr>
            <w:r>
              <w:rPr>
                <w:rFonts w:hint="eastAsia" w:ascii="宋体" w:hAnsi="宋体"/>
                <w:color w:val="auto"/>
                <w:sz w:val="24"/>
              </w:rPr>
              <w:t>7</w:t>
            </w:r>
          </w:p>
        </w:tc>
        <w:tc>
          <w:tcPr>
            <w:tcW w:w="1137" w:type="dxa"/>
            <w:tcBorders>
              <w:bottom w:val="single" w:color="auto" w:sz="4" w:space="0"/>
            </w:tcBorders>
            <w:vAlign w:val="center"/>
          </w:tcPr>
          <w:p w14:paraId="77E13C27">
            <w:pPr>
              <w:spacing w:before="156" w:beforeLines="50" w:line="360" w:lineRule="auto"/>
              <w:jc w:val="center"/>
              <w:rPr>
                <w:rFonts w:hint="eastAsia" w:ascii="宋体" w:hAnsi="宋体"/>
                <w:color w:val="auto"/>
                <w:sz w:val="24"/>
              </w:rPr>
            </w:pPr>
          </w:p>
        </w:tc>
        <w:tc>
          <w:tcPr>
            <w:tcW w:w="8085" w:type="dxa"/>
            <w:tcBorders>
              <w:bottom w:val="single" w:color="auto" w:sz="4" w:space="0"/>
            </w:tcBorders>
          </w:tcPr>
          <w:p w14:paraId="4F493E29">
            <w:pPr>
              <w:spacing w:before="156" w:beforeLines="50" w:line="360" w:lineRule="auto"/>
              <w:ind w:firstLine="480" w:firstLineChars="200"/>
              <w:rPr>
                <w:rFonts w:hint="eastAsia" w:ascii="宋体" w:hAnsi="宋体"/>
                <w:color w:val="auto"/>
                <w:sz w:val="24"/>
              </w:rPr>
            </w:pPr>
            <w:r>
              <w:rPr>
                <w:rFonts w:hint="eastAsia" w:ascii="宋体" w:hAnsi="宋体" w:cs="Tahoma"/>
                <w:color w:val="auto"/>
                <w:kern w:val="0"/>
                <w:sz w:val="24"/>
              </w:rPr>
              <w:t>供应商报价时递交的所有资料均是响应文件的组成部分，当响应文件组成中的资料的内容表述出现不一致时，评审时磋商小组可视情况要求供应商进行澄清，亦可以采信不一致内容中不利于供应商的内容作为评审对象。</w:t>
            </w:r>
          </w:p>
        </w:tc>
      </w:tr>
      <w:tr w14:paraId="29B1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48" w:type="dxa"/>
            <w:tcBorders>
              <w:bottom w:val="single" w:color="auto" w:sz="4" w:space="0"/>
            </w:tcBorders>
            <w:vAlign w:val="center"/>
          </w:tcPr>
          <w:p w14:paraId="773B12AF">
            <w:pPr>
              <w:spacing w:before="156" w:beforeLines="50" w:line="360" w:lineRule="auto"/>
              <w:jc w:val="center"/>
              <w:rPr>
                <w:rFonts w:hint="eastAsia" w:ascii="宋体" w:hAnsi="宋体"/>
                <w:color w:val="auto"/>
                <w:sz w:val="24"/>
              </w:rPr>
            </w:pPr>
            <w:r>
              <w:rPr>
                <w:rFonts w:hint="eastAsia" w:ascii="宋体" w:hAnsi="宋体"/>
                <w:color w:val="auto"/>
                <w:sz w:val="24"/>
              </w:rPr>
              <w:t>8</w:t>
            </w:r>
          </w:p>
        </w:tc>
        <w:tc>
          <w:tcPr>
            <w:tcW w:w="1137" w:type="dxa"/>
            <w:tcBorders>
              <w:bottom w:val="single" w:color="auto" w:sz="4" w:space="0"/>
            </w:tcBorders>
            <w:vAlign w:val="center"/>
          </w:tcPr>
          <w:p w14:paraId="6BBFBB88">
            <w:pPr>
              <w:spacing w:before="156" w:beforeLines="50" w:line="360" w:lineRule="auto"/>
              <w:jc w:val="center"/>
              <w:rPr>
                <w:rFonts w:hint="eastAsia" w:ascii="宋体" w:hAnsi="宋体"/>
                <w:color w:val="auto"/>
                <w:sz w:val="24"/>
              </w:rPr>
            </w:pPr>
          </w:p>
        </w:tc>
        <w:tc>
          <w:tcPr>
            <w:tcW w:w="8085" w:type="dxa"/>
            <w:tcBorders>
              <w:bottom w:val="single" w:color="auto" w:sz="4" w:space="0"/>
            </w:tcBorders>
          </w:tcPr>
          <w:p w14:paraId="74462A67">
            <w:pPr>
              <w:spacing w:before="156" w:beforeLines="50" w:line="360" w:lineRule="auto"/>
              <w:rPr>
                <w:rFonts w:hint="eastAsia" w:ascii="宋体" w:hAnsi="宋体"/>
                <w:b/>
                <w:color w:val="auto"/>
                <w:sz w:val="24"/>
              </w:rPr>
            </w:pPr>
            <w:r>
              <w:rPr>
                <w:rFonts w:hint="eastAsia" w:ascii="宋体" w:hAnsi="宋体"/>
                <w:b/>
                <w:color w:val="auto"/>
                <w:sz w:val="24"/>
              </w:rPr>
              <w:t>评审标准和方法：(含推荐成交候选人数量)</w:t>
            </w:r>
          </w:p>
          <w:p w14:paraId="5C5D1322">
            <w:pPr>
              <w:spacing w:before="156" w:beforeLines="50" w:line="360" w:lineRule="auto"/>
              <w:rPr>
                <w:rFonts w:hint="eastAsia" w:ascii="宋体" w:hAnsi="宋体"/>
                <w:b/>
                <w:color w:val="auto"/>
                <w:sz w:val="24"/>
              </w:rPr>
            </w:pPr>
            <w:r>
              <w:rPr>
                <w:rFonts w:hint="eastAsia" w:ascii="宋体" w:hAnsi="宋体"/>
                <w:b/>
                <w:color w:val="auto"/>
                <w:sz w:val="24"/>
              </w:rPr>
              <w:t>见附件二</w:t>
            </w:r>
          </w:p>
        </w:tc>
      </w:tr>
      <w:tr w14:paraId="43BD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12ACBAC3">
            <w:pPr>
              <w:spacing w:before="156" w:beforeLines="50" w:line="360" w:lineRule="auto"/>
              <w:jc w:val="center"/>
              <w:rPr>
                <w:rFonts w:hint="eastAsia" w:ascii="宋体" w:hAnsi="宋体"/>
                <w:color w:val="auto"/>
                <w:sz w:val="24"/>
              </w:rPr>
            </w:pPr>
            <w:r>
              <w:rPr>
                <w:rFonts w:hint="eastAsia" w:ascii="宋体" w:hAnsi="宋体"/>
                <w:color w:val="auto"/>
                <w:sz w:val="24"/>
              </w:rPr>
              <w:t>9</w:t>
            </w:r>
          </w:p>
        </w:tc>
        <w:tc>
          <w:tcPr>
            <w:tcW w:w="1137" w:type="dxa"/>
            <w:vAlign w:val="center"/>
          </w:tcPr>
          <w:p w14:paraId="737D826A">
            <w:pPr>
              <w:spacing w:before="156" w:beforeLines="50" w:line="360" w:lineRule="auto"/>
              <w:jc w:val="center"/>
              <w:rPr>
                <w:rFonts w:hint="eastAsia" w:ascii="宋体" w:hAnsi="宋体"/>
                <w:color w:val="auto"/>
                <w:sz w:val="24"/>
              </w:rPr>
            </w:pPr>
          </w:p>
        </w:tc>
        <w:tc>
          <w:tcPr>
            <w:tcW w:w="8085" w:type="dxa"/>
            <w:vAlign w:val="center"/>
          </w:tcPr>
          <w:p w14:paraId="1F2E10CA">
            <w:pPr>
              <w:adjustRightInd w:val="0"/>
              <w:snapToGrid w:val="0"/>
              <w:spacing w:before="156" w:beforeLines="50" w:line="360" w:lineRule="auto"/>
              <w:rPr>
                <w:rFonts w:hint="eastAsia" w:ascii="宋体" w:hAnsi="宋体"/>
                <w:b/>
                <w:color w:val="auto"/>
                <w:sz w:val="24"/>
              </w:rPr>
            </w:pPr>
            <w:r>
              <w:rPr>
                <w:rFonts w:hint="eastAsia" w:ascii="宋体" w:hAnsi="宋体"/>
                <w:b/>
                <w:color w:val="auto"/>
                <w:sz w:val="24"/>
              </w:rPr>
              <w:t>代理服务收费标准：</w:t>
            </w:r>
          </w:p>
          <w:p w14:paraId="0878A60A">
            <w:pPr>
              <w:adjustRightInd w:val="0"/>
              <w:snapToGrid w:val="0"/>
              <w:spacing w:before="156" w:beforeLines="50" w:line="360" w:lineRule="auto"/>
              <w:rPr>
                <w:rFonts w:hint="eastAsia" w:ascii="宋体" w:hAnsi="宋体"/>
                <w:b/>
                <w:color w:val="auto"/>
                <w:sz w:val="24"/>
              </w:rPr>
            </w:pPr>
            <w:r>
              <w:rPr>
                <w:rFonts w:hint="eastAsia" w:ascii="宋体" w:hAnsi="宋体"/>
                <w:b/>
                <w:color w:val="auto"/>
                <w:sz w:val="24"/>
              </w:rPr>
              <w:t>(1)本项目代理服务费由</w:t>
            </w:r>
            <w:r>
              <w:rPr>
                <w:rFonts w:hint="eastAsia" w:ascii="宋体" w:hAnsi="宋体"/>
                <w:b/>
                <w:color w:val="auto"/>
                <w:sz w:val="24"/>
                <w:u w:val="single"/>
                <w:lang w:eastAsia="zh-CN"/>
              </w:rPr>
              <w:t>成交供应商</w:t>
            </w:r>
            <w:r>
              <w:rPr>
                <w:rFonts w:hint="eastAsia" w:ascii="宋体" w:hAnsi="宋体"/>
                <w:b/>
                <w:color w:val="auto"/>
                <w:sz w:val="24"/>
              </w:rPr>
              <w:t>支付。</w:t>
            </w:r>
          </w:p>
          <w:p w14:paraId="6A509A60">
            <w:pPr>
              <w:adjustRightInd w:val="0"/>
              <w:snapToGrid w:val="0"/>
              <w:spacing w:before="156" w:beforeLines="50" w:line="360" w:lineRule="auto"/>
              <w:rPr>
                <w:rFonts w:hint="eastAsia" w:ascii="宋体" w:hAnsi="宋体"/>
                <w:color w:val="auto"/>
                <w:sz w:val="24"/>
              </w:rPr>
            </w:pPr>
            <w:r>
              <w:rPr>
                <w:rFonts w:hint="eastAsia" w:ascii="宋体" w:hAnsi="宋体"/>
                <w:b/>
                <w:color w:val="auto"/>
                <w:sz w:val="24"/>
              </w:rPr>
              <w:t>(2)代理服务费收费标准：</w:t>
            </w:r>
            <w:r>
              <w:rPr>
                <w:rFonts w:hint="eastAsia" w:ascii="宋体" w:hAnsi="宋体" w:cs="Tahoma"/>
                <w:color w:val="auto"/>
                <w:kern w:val="0"/>
                <w:sz w:val="24"/>
              </w:rPr>
              <w:t>本项目采购代理服务费按预算金额为基数，以差额定率累进法收取代理费用，标准如下：50万元以下的部分收费费率标准为1%；50-100万元的部分收费费率标准为0.9%；100-500万元的部分收费费率标准为0.5%</w:t>
            </w:r>
            <w:r>
              <w:rPr>
                <w:rFonts w:hint="eastAsia" w:ascii="宋体" w:hAnsi="宋体" w:cs="Tahoma"/>
                <w:color w:val="auto"/>
                <w:kern w:val="0"/>
                <w:sz w:val="24"/>
                <w:lang w:eastAsia="zh-CN"/>
              </w:rPr>
              <w:t>；</w:t>
            </w:r>
            <w:r>
              <w:rPr>
                <w:rFonts w:hint="eastAsia" w:ascii="宋体" w:hAnsi="宋体" w:cs="Tahoma"/>
                <w:color w:val="auto"/>
                <w:kern w:val="0"/>
                <w:sz w:val="24"/>
                <w:lang w:val="en-US" w:eastAsia="zh-CN"/>
              </w:rPr>
              <w:t>按上述标准</w:t>
            </w:r>
            <w:r>
              <w:rPr>
                <w:rFonts w:hint="eastAsia" w:ascii="宋体" w:hAnsi="宋体" w:cs="Tahoma"/>
                <w:color w:val="auto"/>
                <w:kern w:val="0"/>
                <w:sz w:val="24"/>
              </w:rPr>
              <w:t>计算后向</w:t>
            </w:r>
            <w:r>
              <w:rPr>
                <w:rFonts w:hint="eastAsia" w:ascii="宋体" w:hAnsi="宋体" w:cs="Tahoma"/>
                <w:color w:val="auto"/>
                <w:kern w:val="0"/>
                <w:sz w:val="24"/>
                <w:lang w:val="en-US" w:eastAsia="zh-CN"/>
              </w:rPr>
              <w:t>成交供应商</w:t>
            </w:r>
            <w:r>
              <w:rPr>
                <w:rFonts w:hint="eastAsia" w:ascii="宋体" w:hAnsi="宋体" w:cs="Tahoma"/>
                <w:color w:val="auto"/>
                <w:kern w:val="0"/>
                <w:sz w:val="24"/>
              </w:rPr>
              <w:t>收取，</w:t>
            </w:r>
            <w:r>
              <w:rPr>
                <w:rFonts w:hint="eastAsia" w:ascii="宋体" w:hAnsi="宋体" w:cs="Tahoma"/>
                <w:color w:val="auto"/>
                <w:kern w:val="0"/>
                <w:sz w:val="24"/>
                <w:lang w:val="en-US" w:eastAsia="zh-CN"/>
              </w:rPr>
              <w:t>成交供应商</w:t>
            </w:r>
            <w:r>
              <w:rPr>
                <w:rFonts w:hint="eastAsia" w:ascii="宋体" w:hAnsi="宋体" w:cs="Tahoma"/>
                <w:color w:val="auto"/>
                <w:kern w:val="0"/>
                <w:sz w:val="24"/>
              </w:rPr>
              <w:t>应在领取</w:t>
            </w:r>
            <w:r>
              <w:rPr>
                <w:rFonts w:hint="eastAsia" w:ascii="宋体" w:hAnsi="宋体" w:cs="Tahoma"/>
                <w:color w:val="auto"/>
                <w:kern w:val="0"/>
                <w:sz w:val="24"/>
                <w:lang w:val="en-US" w:eastAsia="zh-CN"/>
              </w:rPr>
              <w:t>成交</w:t>
            </w:r>
            <w:r>
              <w:rPr>
                <w:rFonts w:hint="eastAsia" w:ascii="宋体" w:hAnsi="宋体" w:cs="Tahoma"/>
                <w:color w:val="auto"/>
                <w:kern w:val="0"/>
                <w:sz w:val="24"/>
              </w:rPr>
              <w:t>通知书前先以转帐方式一次性向招标代理机构缴纳招标代理服务费。</w:t>
            </w:r>
            <w:r>
              <w:rPr>
                <w:rFonts w:hint="eastAsia" w:ascii="宋体" w:hAnsi="宋体" w:eastAsia="宋体" w:cs="宋体"/>
                <w:sz w:val="24"/>
                <w:szCs w:val="24"/>
              </w:rPr>
              <w:t>开户名：福建立勤项目管理有限公司</w:t>
            </w:r>
            <w:r>
              <w:rPr>
                <w:rFonts w:hint="eastAsia" w:ascii="宋体" w:hAnsi="宋体" w:eastAsia="宋体" w:cs="宋体"/>
                <w:sz w:val="24"/>
                <w:szCs w:val="24"/>
                <w:lang w:eastAsia="zh-CN"/>
              </w:rPr>
              <w:t>；</w:t>
            </w:r>
            <w:r>
              <w:rPr>
                <w:rFonts w:hint="eastAsia" w:ascii="宋体" w:hAnsi="宋体" w:eastAsia="宋体" w:cs="宋体"/>
                <w:sz w:val="24"/>
                <w:szCs w:val="24"/>
              </w:rPr>
              <w:t>开户行：招商银行福州鼓楼支行</w:t>
            </w:r>
            <w:r>
              <w:rPr>
                <w:rFonts w:hint="eastAsia" w:ascii="宋体" w:hAnsi="宋体" w:eastAsia="宋体" w:cs="宋体"/>
                <w:sz w:val="24"/>
                <w:szCs w:val="24"/>
                <w:lang w:eastAsia="zh-CN"/>
              </w:rPr>
              <w:t>；</w:t>
            </w:r>
            <w:r>
              <w:rPr>
                <w:rFonts w:hint="eastAsia" w:ascii="宋体" w:hAnsi="宋体" w:eastAsia="宋体" w:cs="宋体"/>
                <w:sz w:val="24"/>
                <w:szCs w:val="24"/>
              </w:rPr>
              <w:t>账号：5919 1063 8210 001</w:t>
            </w:r>
            <w:r>
              <w:rPr>
                <w:rFonts w:hint="eastAsia" w:asciiTheme="minorEastAsia" w:hAnsiTheme="minorEastAsia" w:eastAsiaTheme="minorEastAsia" w:cstheme="minorEastAsia"/>
                <w:sz w:val="24"/>
                <w:szCs w:val="24"/>
              </w:rPr>
              <w:t>。</w:t>
            </w:r>
          </w:p>
        </w:tc>
      </w:tr>
      <w:tr w14:paraId="34D1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777AC64E">
            <w:pPr>
              <w:spacing w:before="156" w:beforeLines="50" w:line="360" w:lineRule="auto"/>
              <w:ind w:firstLine="240" w:firstLineChars="100"/>
              <w:rPr>
                <w:rFonts w:hint="eastAsia" w:ascii="宋体" w:hAnsi="宋体"/>
                <w:color w:val="auto"/>
                <w:sz w:val="24"/>
              </w:rPr>
            </w:pPr>
            <w:r>
              <w:rPr>
                <w:rFonts w:hint="eastAsia" w:ascii="宋体" w:hAnsi="宋体"/>
                <w:color w:val="auto"/>
                <w:sz w:val="24"/>
              </w:rPr>
              <w:t>10</w:t>
            </w:r>
          </w:p>
        </w:tc>
        <w:tc>
          <w:tcPr>
            <w:tcW w:w="1137" w:type="dxa"/>
            <w:vAlign w:val="center"/>
          </w:tcPr>
          <w:p w14:paraId="7228F392">
            <w:pPr>
              <w:spacing w:before="156" w:beforeLines="50" w:line="360" w:lineRule="auto"/>
              <w:jc w:val="center"/>
              <w:rPr>
                <w:rFonts w:hint="eastAsia" w:ascii="宋体" w:hAnsi="宋体"/>
                <w:color w:val="auto"/>
                <w:sz w:val="24"/>
              </w:rPr>
            </w:pPr>
            <w:r>
              <w:rPr>
                <w:rFonts w:hint="eastAsia" w:ascii="宋体" w:hAnsi="宋体"/>
                <w:color w:val="auto"/>
                <w:sz w:val="24"/>
              </w:rPr>
              <w:t>23</w:t>
            </w:r>
          </w:p>
        </w:tc>
        <w:tc>
          <w:tcPr>
            <w:tcW w:w="8085" w:type="dxa"/>
            <w:vAlign w:val="center"/>
          </w:tcPr>
          <w:p w14:paraId="60C43C60">
            <w:pPr>
              <w:spacing w:before="156" w:beforeLines="50" w:line="360" w:lineRule="auto"/>
              <w:rPr>
                <w:rFonts w:hint="eastAsia" w:ascii="宋体" w:hAnsi="宋体"/>
                <w:color w:val="auto"/>
                <w:sz w:val="24"/>
              </w:rPr>
            </w:pPr>
            <w:r>
              <w:rPr>
                <w:rFonts w:hint="eastAsia" w:ascii="宋体" w:hAnsi="宋体"/>
                <w:b/>
                <w:color w:val="auto"/>
                <w:sz w:val="24"/>
              </w:rPr>
              <w:t>磋商项目行政监督部门：</w:t>
            </w:r>
            <w:r>
              <w:rPr>
                <w:rFonts w:hint="eastAsia" w:ascii="宋体" w:hAnsi="宋体"/>
                <w:color w:val="auto"/>
                <w:sz w:val="24"/>
              </w:rPr>
              <w:t xml:space="preserve"> </w:t>
            </w:r>
            <w:r>
              <w:rPr>
                <w:rFonts w:hint="eastAsia" w:ascii="宋体" w:hAnsi="宋体"/>
                <w:color w:val="auto"/>
                <w:sz w:val="24"/>
                <w:lang w:eastAsia="zh-CN"/>
              </w:rPr>
              <w:t>福建省楚源服饰有限责任公司监事会</w:t>
            </w:r>
          </w:p>
        </w:tc>
      </w:tr>
      <w:tr w14:paraId="75EB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64D8FC71">
            <w:pPr>
              <w:spacing w:before="156" w:beforeLines="50" w:line="360" w:lineRule="auto"/>
              <w:ind w:firstLine="240" w:firstLineChars="100"/>
              <w:rPr>
                <w:rFonts w:hint="eastAsia" w:ascii="宋体" w:hAnsi="宋体"/>
                <w:color w:val="auto"/>
                <w:sz w:val="24"/>
              </w:rPr>
            </w:pPr>
            <w:r>
              <w:rPr>
                <w:rFonts w:hint="eastAsia" w:ascii="宋体" w:hAnsi="宋体"/>
                <w:color w:val="auto"/>
                <w:sz w:val="24"/>
              </w:rPr>
              <w:t>11</w:t>
            </w:r>
          </w:p>
        </w:tc>
        <w:tc>
          <w:tcPr>
            <w:tcW w:w="1137" w:type="dxa"/>
            <w:vAlign w:val="center"/>
          </w:tcPr>
          <w:p w14:paraId="6492D4D3">
            <w:pPr>
              <w:spacing w:before="156" w:beforeLines="50" w:line="360" w:lineRule="auto"/>
              <w:jc w:val="center"/>
              <w:rPr>
                <w:rFonts w:hint="eastAsia" w:ascii="宋体" w:hAnsi="宋体"/>
                <w:color w:val="auto"/>
                <w:sz w:val="24"/>
              </w:rPr>
            </w:pPr>
          </w:p>
        </w:tc>
        <w:tc>
          <w:tcPr>
            <w:tcW w:w="8085" w:type="dxa"/>
            <w:vAlign w:val="center"/>
          </w:tcPr>
          <w:p w14:paraId="47FB3463">
            <w:pPr>
              <w:spacing w:before="156" w:beforeLines="50" w:line="360" w:lineRule="auto"/>
              <w:ind w:firstLine="480" w:firstLineChars="200"/>
              <w:rPr>
                <w:rFonts w:hint="eastAsia" w:ascii="宋体" w:hAnsi="宋体"/>
                <w:color w:val="auto"/>
                <w:sz w:val="24"/>
              </w:rPr>
            </w:pPr>
            <w:r>
              <w:rPr>
                <w:rFonts w:hint="eastAsia" w:ascii="宋体" w:hAnsi="宋体"/>
                <w:color w:val="auto"/>
                <w:sz w:val="24"/>
              </w:rPr>
              <w:t>供应商必须对其响应文件中提供各种资料、说明的真实性负责。在评审过程中，如有发现供应商有为谋取成交而提供虚假资料欺骗采购人和磋商小组的行为，将取消其成交资格，并按相关规定处罚。</w:t>
            </w:r>
          </w:p>
          <w:p w14:paraId="7EE04C7D">
            <w:pPr>
              <w:spacing w:before="156" w:beforeLines="50" w:line="360" w:lineRule="auto"/>
              <w:ind w:firstLine="480" w:firstLineChars="200"/>
              <w:rPr>
                <w:rFonts w:hint="eastAsia" w:ascii="宋体" w:hAnsi="宋体"/>
                <w:color w:val="auto"/>
                <w:sz w:val="24"/>
              </w:rPr>
            </w:pPr>
            <w:r>
              <w:rPr>
                <w:rFonts w:hint="eastAsia" w:ascii="宋体" w:hAnsi="宋体"/>
                <w:color w:val="auto"/>
                <w:sz w:val="24"/>
              </w:rPr>
              <w:t>成交后，采购人有可能对</w:t>
            </w:r>
            <w:r>
              <w:rPr>
                <w:rFonts w:hint="eastAsia" w:ascii="宋体" w:hAnsi="宋体"/>
                <w:color w:val="auto"/>
                <w:sz w:val="24"/>
                <w:lang w:eastAsia="zh-CN"/>
              </w:rPr>
              <w:t>成交供应商</w:t>
            </w:r>
            <w:r>
              <w:rPr>
                <w:rFonts w:hint="eastAsia" w:ascii="宋体" w:hAnsi="宋体"/>
                <w:color w:val="auto"/>
                <w:sz w:val="24"/>
              </w:rPr>
              <w:t>响应文件中的承诺内容和证明材料进行核查，</w:t>
            </w:r>
            <w:r>
              <w:rPr>
                <w:rFonts w:hint="eastAsia" w:ascii="宋体" w:hAnsi="宋体"/>
                <w:color w:val="auto"/>
                <w:sz w:val="24"/>
                <w:lang w:eastAsia="zh-CN"/>
              </w:rPr>
              <w:t>成交供应商</w:t>
            </w:r>
            <w:r>
              <w:rPr>
                <w:rFonts w:hint="eastAsia" w:ascii="宋体" w:hAnsi="宋体"/>
                <w:color w:val="auto"/>
                <w:sz w:val="24"/>
              </w:rPr>
              <w:t>应无条件配合采购人的核查工作，不得托词拒绝核查或隐瞒真实情况。若发现</w:t>
            </w:r>
            <w:r>
              <w:rPr>
                <w:rFonts w:hint="eastAsia" w:ascii="宋体" w:hAnsi="宋体"/>
                <w:color w:val="auto"/>
                <w:sz w:val="24"/>
                <w:lang w:eastAsia="zh-CN"/>
              </w:rPr>
              <w:t>成交供应商</w:t>
            </w:r>
            <w:r>
              <w:rPr>
                <w:rFonts w:hint="eastAsia" w:ascii="宋体" w:hAnsi="宋体"/>
                <w:color w:val="auto"/>
                <w:sz w:val="24"/>
              </w:rPr>
              <w:t>虚假应标，则予以无效报价处理，并按相关规定处罚。</w:t>
            </w:r>
          </w:p>
          <w:p w14:paraId="32EE9AC0">
            <w:pPr>
              <w:spacing w:before="156" w:beforeLines="50" w:line="360" w:lineRule="auto"/>
              <w:ind w:firstLine="480" w:firstLineChars="200"/>
              <w:rPr>
                <w:rFonts w:hint="eastAsia" w:ascii="宋体" w:hAnsi="宋体"/>
                <w:color w:val="auto"/>
                <w:sz w:val="24"/>
              </w:rPr>
            </w:pPr>
            <w:r>
              <w:rPr>
                <w:rFonts w:hint="eastAsia" w:ascii="宋体" w:hAnsi="宋体"/>
                <w:color w:val="auto"/>
                <w:sz w:val="24"/>
              </w:rPr>
              <w:t>若在签订合同时，发现</w:t>
            </w:r>
            <w:r>
              <w:rPr>
                <w:rFonts w:hint="eastAsia" w:ascii="宋体" w:hAnsi="宋体"/>
                <w:color w:val="auto"/>
                <w:sz w:val="24"/>
                <w:lang w:eastAsia="zh-CN"/>
              </w:rPr>
              <w:t>成交供应商</w:t>
            </w:r>
            <w:r>
              <w:rPr>
                <w:rFonts w:hint="eastAsia" w:ascii="宋体" w:hAnsi="宋体"/>
                <w:color w:val="auto"/>
                <w:sz w:val="24"/>
              </w:rPr>
              <w:t>有提供虚假材料谋取成交等违法违规行为，将取消其</w:t>
            </w:r>
            <w:r>
              <w:rPr>
                <w:rFonts w:hint="eastAsia" w:ascii="宋体" w:hAnsi="宋体"/>
                <w:color w:val="auto"/>
                <w:sz w:val="24"/>
                <w:lang w:eastAsia="zh-CN"/>
              </w:rPr>
              <w:t>成交供应商</w:t>
            </w:r>
            <w:r>
              <w:rPr>
                <w:rFonts w:hint="eastAsia" w:ascii="宋体" w:hAnsi="宋体"/>
                <w:color w:val="auto"/>
                <w:sz w:val="24"/>
              </w:rPr>
              <w:t>资格，并按相关规定处罚；给采购人造成损失的，还必须进行赔偿并负相关责任。</w:t>
            </w:r>
          </w:p>
        </w:tc>
      </w:tr>
      <w:tr w14:paraId="587E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451809A7">
            <w:pPr>
              <w:spacing w:before="156" w:beforeLines="50" w:line="360" w:lineRule="auto"/>
              <w:jc w:val="center"/>
              <w:rPr>
                <w:rFonts w:hint="eastAsia" w:ascii="宋体" w:hAnsi="宋体" w:eastAsiaTheme="minorEastAsia"/>
                <w:color w:val="auto"/>
                <w:sz w:val="24"/>
                <w:lang w:eastAsia="zh-CN"/>
              </w:rPr>
            </w:pPr>
            <w:r>
              <w:rPr>
                <w:rFonts w:hint="eastAsia" w:ascii="宋体" w:hAnsi="宋体"/>
                <w:color w:val="auto"/>
                <w:sz w:val="24"/>
              </w:rPr>
              <w:t>1</w:t>
            </w:r>
            <w:r>
              <w:rPr>
                <w:rFonts w:hint="eastAsia" w:ascii="宋体" w:hAnsi="宋体"/>
                <w:color w:val="auto"/>
                <w:sz w:val="24"/>
                <w:lang w:val="en-US" w:eastAsia="zh-CN"/>
              </w:rPr>
              <w:t>2</w:t>
            </w:r>
          </w:p>
        </w:tc>
        <w:tc>
          <w:tcPr>
            <w:tcW w:w="1137" w:type="dxa"/>
            <w:vAlign w:val="center"/>
          </w:tcPr>
          <w:p w14:paraId="04A5EFA7">
            <w:pPr>
              <w:spacing w:before="156" w:beforeLines="50" w:line="360" w:lineRule="auto"/>
              <w:jc w:val="center"/>
              <w:rPr>
                <w:rFonts w:hint="eastAsia" w:ascii="宋体" w:hAnsi="宋体"/>
                <w:color w:val="auto"/>
                <w:sz w:val="24"/>
              </w:rPr>
            </w:pPr>
            <w:r>
              <w:rPr>
                <w:rFonts w:hint="eastAsia" w:ascii="宋体" w:hAnsi="宋体"/>
                <w:color w:val="auto"/>
                <w:sz w:val="24"/>
              </w:rPr>
              <w:t>17</w:t>
            </w:r>
          </w:p>
        </w:tc>
        <w:tc>
          <w:tcPr>
            <w:tcW w:w="8085" w:type="dxa"/>
            <w:vAlign w:val="center"/>
          </w:tcPr>
          <w:p w14:paraId="00AAF3A8">
            <w:pPr>
              <w:spacing w:before="156" w:beforeLines="50" w:line="360" w:lineRule="auto"/>
              <w:rPr>
                <w:rFonts w:hint="eastAsia" w:ascii="宋体" w:hAnsi="宋体"/>
                <w:b/>
                <w:bCs/>
                <w:color w:val="auto"/>
                <w:sz w:val="24"/>
              </w:rPr>
            </w:pPr>
            <w:r>
              <w:rPr>
                <w:rFonts w:hint="eastAsia" w:ascii="宋体" w:hAnsi="宋体"/>
                <w:b/>
                <w:color w:val="auto"/>
                <w:sz w:val="24"/>
              </w:rPr>
              <w:t>特别提示：</w:t>
            </w:r>
          </w:p>
          <w:p w14:paraId="4A2826E9">
            <w:pPr>
              <w:spacing w:before="156" w:beforeLines="50" w:line="360" w:lineRule="auto"/>
              <w:rPr>
                <w:rFonts w:hint="eastAsia" w:ascii="宋体" w:hAnsi="宋体"/>
                <w:color w:val="auto"/>
                <w:sz w:val="24"/>
              </w:rPr>
            </w:pPr>
            <w:r>
              <w:rPr>
                <w:rFonts w:hint="eastAsia" w:ascii="宋体" w:hAnsi="宋体"/>
                <w:b/>
                <w:bCs/>
                <w:color w:val="auto"/>
                <w:sz w:val="24"/>
              </w:rPr>
              <w:t>（一）重大偏差：</w:t>
            </w:r>
            <w:r>
              <w:rPr>
                <w:rFonts w:hint="eastAsia" w:ascii="宋体" w:hAnsi="宋体"/>
                <w:color w:val="auto"/>
                <w:sz w:val="24"/>
              </w:rPr>
              <w:t>下述情况将导致响应无效</w:t>
            </w:r>
          </w:p>
          <w:p w14:paraId="60E1E887">
            <w:pPr>
              <w:numPr>
                <w:ilvl w:val="0"/>
                <w:numId w:val="0"/>
              </w:numPr>
              <w:tabs>
                <w:tab w:val="left" w:pos="432"/>
              </w:tabs>
              <w:spacing w:before="156" w:beforeLines="50" w:line="360" w:lineRule="auto"/>
              <w:ind w:left="432" w:leftChars="0" w:hanging="432"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w:t>
            </w:r>
            <w:r>
              <w:rPr>
                <w:rFonts w:hint="eastAsia" w:ascii="宋体" w:hAnsi="宋体"/>
                <w:color w:val="auto"/>
                <w:sz w:val="24"/>
              </w:rPr>
              <w:t>响应文件未按规定由供应商的单位负责人或其授权代表签字，或未加盖供应商公章；或签字人未经单位负责人有效授权【单位负责人授权书无单位负责人签字或盖章的、单位负责人授权书无供应商代表签字的】；</w:t>
            </w:r>
          </w:p>
          <w:p w14:paraId="13F597E6">
            <w:pPr>
              <w:numPr>
                <w:ilvl w:val="0"/>
                <w:numId w:val="0"/>
              </w:numPr>
              <w:tabs>
                <w:tab w:val="left" w:pos="432"/>
              </w:tabs>
              <w:spacing w:before="156" w:beforeLines="50" w:line="360" w:lineRule="auto"/>
              <w:ind w:left="900" w:leftChars="0" w:hanging="90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2)</w:t>
            </w:r>
            <w:r>
              <w:rPr>
                <w:rFonts w:hint="eastAsia" w:ascii="宋体" w:hAnsi="宋体"/>
                <w:color w:val="auto"/>
                <w:sz w:val="24"/>
              </w:rPr>
              <w:t>响应文件不符合本须知第14条规定的无效报价情形的；</w:t>
            </w:r>
          </w:p>
          <w:p w14:paraId="56AB6746">
            <w:pPr>
              <w:numPr>
                <w:ilvl w:val="0"/>
                <w:numId w:val="0"/>
              </w:numPr>
              <w:tabs>
                <w:tab w:val="left" w:pos="432"/>
              </w:tabs>
              <w:spacing w:before="156" w:beforeLines="50" w:line="360" w:lineRule="auto"/>
              <w:ind w:left="540" w:leftChars="0" w:hanging="54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3)</w:t>
            </w:r>
            <w:r>
              <w:rPr>
                <w:rFonts w:hint="eastAsia" w:ascii="宋体" w:hAnsi="宋体"/>
                <w:color w:val="auto"/>
                <w:sz w:val="24"/>
              </w:rPr>
              <w:t>报价（首次报价或最后报价）超过项目预算价或明显低于其他通过符合性审查供应商的报价；</w:t>
            </w:r>
          </w:p>
          <w:p w14:paraId="01117FF0">
            <w:pPr>
              <w:numPr>
                <w:ilvl w:val="0"/>
                <w:numId w:val="0"/>
              </w:numPr>
              <w:tabs>
                <w:tab w:val="left" w:pos="432"/>
              </w:tabs>
              <w:spacing w:before="156" w:beforeLines="50" w:line="360" w:lineRule="auto"/>
              <w:ind w:left="432" w:leftChars="0" w:hanging="432"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4)</w:t>
            </w:r>
            <w:r>
              <w:rPr>
                <w:rFonts w:hint="eastAsia" w:ascii="宋体" w:hAnsi="宋体"/>
                <w:color w:val="auto"/>
                <w:sz w:val="24"/>
              </w:rPr>
              <w:t>供应商提交的是可选择的报价，未按规定进行分项报价；</w:t>
            </w:r>
          </w:p>
          <w:p w14:paraId="2D7FF923">
            <w:pPr>
              <w:numPr>
                <w:ilvl w:val="0"/>
                <w:numId w:val="0"/>
              </w:numPr>
              <w:tabs>
                <w:tab w:val="left" w:pos="432"/>
              </w:tabs>
              <w:spacing w:before="156" w:beforeLines="50" w:line="360" w:lineRule="auto"/>
              <w:ind w:left="432" w:leftChars="0" w:hanging="432"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5)</w:t>
            </w:r>
            <w:r>
              <w:rPr>
                <w:rFonts w:hint="eastAsia" w:ascii="宋体" w:hAnsi="宋体"/>
                <w:color w:val="auto"/>
                <w:sz w:val="24"/>
              </w:rPr>
              <w:t>供应商未按《供应商须知前附表》第6项2.1）、2.2）条款提交磋商保证金；</w:t>
            </w:r>
          </w:p>
          <w:p w14:paraId="4A2B7A87">
            <w:pPr>
              <w:numPr>
                <w:ilvl w:val="0"/>
                <w:numId w:val="0"/>
              </w:numPr>
              <w:tabs>
                <w:tab w:val="left" w:pos="432"/>
              </w:tabs>
              <w:spacing w:before="156" w:beforeLines="50" w:line="360" w:lineRule="auto"/>
              <w:ind w:left="900" w:leftChars="0" w:hanging="90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6)</w:t>
            </w:r>
            <w:r>
              <w:rPr>
                <w:rFonts w:hint="eastAsia" w:ascii="宋体" w:hAnsi="宋体"/>
                <w:color w:val="auto"/>
                <w:sz w:val="24"/>
              </w:rPr>
              <w:t>响应有效期不满足磋商文件要求；</w:t>
            </w:r>
          </w:p>
          <w:p w14:paraId="7ED083E6">
            <w:pPr>
              <w:numPr>
                <w:ilvl w:val="0"/>
                <w:numId w:val="0"/>
              </w:numPr>
              <w:tabs>
                <w:tab w:val="left" w:pos="432"/>
              </w:tabs>
              <w:spacing w:before="156" w:beforeLines="50" w:line="360" w:lineRule="auto"/>
              <w:ind w:left="900" w:leftChars="0" w:hanging="90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7)</w:t>
            </w:r>
            <w:r>
              <w:rPr>
                <w:rFonts w:hint="eastAsia" w:ascii="宋体" w:hAnsi="宋体"/>
                <w:color w:val="auto"/>
                <w:sz w:val="24"/>
              </w:rPr>
              <w:t>供应商不符合合格供应商的资格条件；</w:t>
            </w:r>
          </w:p>
          <w:p w14:paraId="17D37324">
            <w:pPr>
              <w:numPr>
                <w:ilvl w:val="0"/>
                <w:numId w:val="0"/>
              </w:numPr>
              <w:spacing w:before="156" w:beforeLines="50" w:line="360" w:lineRule="auto"/>
              <w:ind w:left="399" w:leftChars="0" w:hanging="399"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8)</w:t>
            </w:r>
            <w:r>
              <w:rPr>
                <w:rFonts w:hint="eastAsia" w:ascii="宋体" w:hAnsi="宋体"/>
                <w:color w:val="auto"/>
                <w:sz w:val="24"/>
              </w:rPr>
              <w:t>响应文件载明的磋商项目完成期限（交付时间）超过磋商文件的规定；</w:t>
            </w:r>
          </w:p>
          <w:p w14:paraId="6BF84B39">
            <w:pPr>
              <w:numPr>
                <w:ilvl w:val="0"/>
                <w:numId w:val="0"/>
              </w:numPr>
              <w:spacing w:before="156" w:beforeLines="50" w:line="360" w:lineRule="auto"/>
              <w:ind w:left="399" w:leftChars="0" w:hanging="399"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9)</w:t>
            </w:r>
            <w:r>
              <w:rPr>
                <w:rFonts w:hint="eastAsia" w:ascii="宋体" w:hAnsi="宋体"/>
                <w:color w:val="auto"/>
                <w:sz w:val="24"/>
              </w:rPr>
              <w:t>报价物明显不符合磋商物的技术规格、技术（服务）标准要求；</w:t>
            </w:r>
          </w:p>
          <w:p w14:paraId="49971D1A">
            <w:pPr>
              <w:numPr>
                <w:ilvl w:val="0"/>
                <w:numId w:val="0"/>
              </w:numPr>
              <w:spacing w:before="156" w:beforeLines="50" w:line="360" w:lineRule="auto"/>
              <w:ind w:left="399" w:leftChars="0" w:hanging="399"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10)</w:t>
            </w:r>
            <w:r>
              <w:rPr>
                <w:rFonts w:hint="eastAsia" w:ascii="宋体" w:hAnsi="宋体"/>
                <w:color w:val="auto"/>
                <w:sz w:val="24"/>
              </w:rPr>
              <w:t>响应文件载明的检验标准和方法等低于磋商文件的要求（如有）；</w:t>
            </w:r>
          </w:p>
          <w:p w14:paraId="0FEC4AD1">
            <w:pPr>
              <w:numPr>
                <w:ilvl w:val="0"/>
                <w:numId w:val="0"/>
              </w:numPr>
              <w:tabs>
                <w:tab w:val="left" w:pos="432"/>
              </w:tabs>
              <w:spacing w:before="156" w:beforeLines="50" w:line="360" w:lineRule="auto"/>
              <w:ind w:left="399" w:leftChars="0" w:hanging="399"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11)</w:t>
            </w:r>
            <w:r>
              <w:rPr>
                <w:rFonts w:hint="eastAsia" w:ascii="宋体" w:hAnsi="宋体"/>
                <w:color w:val="auto"/>
                <w:sz w:val="24"/>
              </w:rPr>
              <w:t>第三章</w:t>
            </w:r>
            <w:r>
              <w:rPr>
                <w:rFonts w:hint="eastAsia" w:ascii="宋体" w:hAnsi="宋体"/>
                <w:color w:val="auto"/>
                <w:sz w:val="24"/>
                <w:lang w:val="en-US" w:eastAsia="zh-CN"/>
              </w:rPr>
              <w:t>磋商</w:t>
            </w:r>
            <w:r>
              <w:rPr>
                <w:rFonts w:hint="eastAsia" w:ascii="宋体" w:hAnsi="宋体"/>
                <w:color w:val="auto"/>
                <w:sz w:val="24"/>
              </w:rPr>
              <w:t>内容及要求中“三、商务条件”和“四、其他事项”有负偏离的；</w:t>
            </w:r>
          </w:p>
          <w:p w14:paraId="07F68A10">
            <w:pPr>
              <w:numPr>
                <w:ilvl w:val="0"/>
                <w:numId w:val="0"/>
              </w:numPr>
              <w:tabs>
                <w:tab w:val="left" w:pos="432"/>
              </w:tabs>
              <w:spacing w:before="156" w:beforeLines="50" w:line="360" w:lineRule="auto"/>
              <w:ind w:left="432" w:leftChars="0" w:hanging="432"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12)</w:t>
            </w:r>
            <w:r>
              <w:rPr>
                <w:rFonts w:hint="eastAsia" w:ascii="宋体" w:hAnsi="宋体"/>
                <w:color w:val="auto"/>
                <w:sz w:val="24"/>
              </w:rPr>
              <w:t>磋商文件标注“★”号的条款为关键性条款，对这些关键性条款的任何偏离；</w:t>
            </w:r>
          </w:p>
          <w:p w14:paraId="02605AA3">
            <w:pPr>
              <w:numPr>
                <w:ilvl w:val="0"/>
                <w:numId w:val="0"/>
              </w:numPr>
              <w:spacing w:before="156" w:beforeLines="50" w:line="360" w:lineRule="auto"/>
              <w:ind w:left="399" w:leftChars="0" w:hanging="399"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13)</w:t>
            </w:r>
            <w:r>
              <w:rPr>
                <w:rFonts w:hint="eastAsia" w:ascii="宋体" w:hAnsi="宋体"/>
                <w:color w:val="auto"/>
                <w:sz w:val="24"/>
              </w:rPr>
              <w:t>响应文件组成不符合磋商文件要求，报价内容与磋商内容及要求有重大偏离或保留；</w:t>
            </w:r>
          </w:p>
          <w:p w14:paraId="2017ED6C">
            <w:pPr>
              <w:numPr>
                <w:ilvl w:val="0"/>
                <w:numId w:val="0"/>
              </w:numPr>
              <w:tabs>
                <w:tab w:val="left" w:pos="432"/>
              </w:tabs>
              <w:spacing w:before="156" w:beforeLines="50" w:line="360" w:lineRule="auto"/>
              <w:ind w:left="900" w:leftChars="0" w:hanging="90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14)</w:t>
            </w:r>
            <w:r>
              <w:rPr>
                <w:rFonts w:hint="eastAsia" w:ascii="宋体" w:hAnsi="宋体"/>
                <w:color w:val="auto"/>
                <w:sz w:val="24"/>
              </w:rPr>
              <w:t>响应文件附有采购人不能接受的条件；</w:t>
            </w:r>
          </w:p>
          <w:p w14:paraId="7E58CC9A">
            <w:pPr>
              <w:numPr>
                <w:ilvl w:val="0"/>
                <w:numId w:val="0"/>
              </w:numPr>
              <w:tabs>
                <w:tab w:val="left" w:pos="432"/>
              </w:tabs>
              <w:spacing w:before="156" w:beforeLines="50" w:line="360" w:lineRule="auto"/>
              <w:ind w:left="900" w:leftChars="0" w:hanging="90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15)</w:t>
            </w:r>
            <w:r>
              <w:rPr>
                <w:rFonts w:hint="eastAsia" w:ascii="宋体" w:hAnsi="宋体"/>
                <w:color w:val="auto"/>
                <w:sz w:val="24"/>
              </w:rPr>
              <w:t>响应文件中提供虚假或失实资料；</w:t>
            </w:r>
          </w:p>
          <w:p w14:paraId="367A09BA">
            <w:pPr>
              <w:numPr>
                <w:ilvl w:val="0"/>
                <w:numId w:val="0"/>
              </w:numPr>
              <w:tabs>
                <w:tab w:val="left" w:pos="432"/>
              </w:tabs>
              <w:spacing w:before="156" w:beforeLines="50" w:line="360" w:lineRule="auto"/>
              <w:ind w:left="900" w:leftChars="0" w:hanging="900"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16)</w:t>
            </w:r>
            <w:r>
              <w:rPr>
                <w:rFonts w:hint="eastAsia" w:ascii="宋体" w:hAnsi="宋体"/>
                <w:color w:val="auto"/>
                <w:sz w:val="24"/>
              </w:rPr>
              <w:t>不符合磋商文件中规定的其它实质性要求条款；</w:t>
            </w:r>
          </w:p>
          <w:p w14:paraId="08A83903">
            <w:pPr>
              <w:numPr>
                <w:ilvl w:val="0"/>
                <w:numId w:val="0"/>
              </w:numPr>
              <w:tabs>
                <w:tab w:val="left" w:pos="432"/>
              </w:tabs>
              <w:spacing w:before="156" w:beforeLines="50" w:line="360" w:lineRule="auto"/>
              <w:ind w:left="432" w:leftChars="0" w:hanging="432" w:firstLineChars="0"/>
              <w:rPr>
                <w:rFonts w:hint="eastAsia" w:ascii="宋体" w:hAnsi="宋体"/>
                <w:color w:val="auto"/>
                <w:sz w:val="24"/>
              </w:rPr>
            </w:pPr>
            <w:r>
              <w:rPr>
                <w:rFonts w:hint="eastAsia" w:ascii="宋体" w:hAnsi="宋体" w:eastAsiaTheme="minorEastAsia" w:cstheme="minorBidi"/>
                <w:color w:val="auto"/>
                <w:kern w:val="2"/>
                <w:sz w:val="24"/>
                <w:szCs w:val="24"/>
                <w:lang w:val="en-US" w:eastAsia="zh-CN" w:bidi="ar-SA"/>
              </w:rPr>
              <w:t>17)</w:t>
            </w:r>
            <w:r>
              <w:rPr>
                <w:rFonts w:hint="eastAsia" w:ascii="宋体" w:hAnsi="宋体"/>
                <w:color w:val="auto"/>
                <w:sz w:val="24"/>
              </w:rPr>
              <w:t>符合磋商文件中规定的其他导致废标（或无效报价）条款。</w:t>
            </w:r>
          </w:p>
          <w:p w14:paraId="432CB256">
            <w:pPr>
              <w:spacing w:before="156" w:beforeLines="50" w:line="360" w:lineRule="auto"/>
              <w:rPr>
                <w:rFonts w:hint="eastAsia" w:ascii="宋体" w:hAnsi="宋体"/>
                <w:b/>
                <w:bCs/>
                <w:color w:val="auto"/>
                <w:sz w:val="24"/>
              </w:rPr>
            </w:pPr>
            <w:r>
              <w:rPr>
                <w:rFonts w:hint="eastAsia" w:ascii="宋体" w:hAnsi="宋体"/>
                <w:b/>
                <w:bCs/>
                <w:color w:val="auto"/>
                <w:sz w:val="24"/>
              </w:rPr>
              <w:t>（二）细微偏差：</w:t>
            </w:r>
          </w:p>
          <w:p w14:paraId="31F415AE">
            <w:pPr>
              <w:spacing w:before="156" w:beforeLines="50" w:line="360" w:lineRule="auto"/>
              <w:ind w:firstLine="480" w:firstLineChars="200"/>
              <w:rPr>
                <w:rFonts w:hint="eastAsia" w:ascii="宋体" w:hAnsi="宋体"/>
                <w:bCs/>
                <w:color w:val="auto"/>
                <w:sz w:val="24"/>
              </w:rPr>
            </w:pPr>
            <w:r>
              <w:rPr>
                <w:rFonts w:hint="eastAsia" w:ascii="宋体" w:hAnsi="宋体"/>
                <w:bCs/>
                <w:color w:val="auto"/>
                <w:sz w:val="24"/>
              </w:rPr>
              <w:t>响应文件在实质上响应磋商文件要求，但在个别地方存在漏项或者提供了不完整的技术信息和数据等情况，并且补正这些遗漏或者不完整不会对其他供应商造成不公平的结果。细微偏差不影响响应文件的有效性。</w:t>
            </w:r>
          </w:p>
          <w:p w14:paraId="1D2B287C">
            <w:pPr>
              <w:spacing w:before="156" w:beforeLines="50" w:line="360" w:lineRule="auto"/>
              <w:ind w:firstLine="480" w:firstLineChars="200"/>
              <w:rPr>
                <w:rFonts w:hint="eastAsia" w:ascii="宋体" w:hAnsi="宋体"/>
                <w:bCs/>
                <w:color w:val="auto"/>
                <w:sz w:val="24"/>
              </w:rPr>
            </w:pPr>
            <w:r>
              <w:rPr>
                <w:rFonts w:hint="eastAsia" w:ascii="宋体" w:hAnsi="宋体"/>
                <w:bCs/>
                <w:color w:val="auto"/>
                <w:sz w:val="24"/>
              </w:rPr>
              <w:t>磋商小组应当书面要求存在细微偏差的供应商在评审结束前予以补正。补正的程序和方法按照法律法规对澄清的规定执行。无法补正的，可在评审时对细微偏差作不利于该供应商的认定。</w:t>
            </w:r>
          </w:p>
          <w:p w14:paraId="039CB6B3">
            <w:pPr>
              <w:spacing w:before="156" w:beforeLines="50" w:line="360" w:lineRule="auto"/>
              <w:ind w:firstLine="472" w:firstLineChars="196"/>
              <w:rPr>
                <w:rFonts w:hint="eastAsia" w:ascii="宋体" w:hAnsi="宋体"/>
                <w:color w:val="auto"/>
                <w:sz w:val="24"/>
              </w:rPr>
            </w:pPr>
            <w:r>
              <w:rPr>
                <w:rFonts w:hint="eastAsia" w:ascii="宋体" w:hAnsi="宋体"/>
                <w:b/>
                <w:bCs/>
                <w:color w:val="auto"/>
                <w:sz w:val="24"/>
              </w:rPr>
              <w:t>注：磋商小组判定重大偏差、细微偏差是依据响应文件，而不寻求其他的外部证据。</w:t>
            </w:r>
          </w:p>
        </w:tc>
      </w:tr>
      <w:tr w14:paraId="07E0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2A796358">
            <w:pPr>
              <w:spacing w:before="156" w:beforeLines="50" w:line="360" w:lineRule="auto"/>
              <w:jc w:val="center"/>
              <w:rPr>
                <w:rFonts w:hint="default" w:ascii="宋体" w:hAnsi="宋体" w:eastAsiaTheme="minorEastAsia"/>
                <w:color w:val="auto"/>
                <w:sz w:val="24"/>
                <w:lang w:val="en-US" w:eastAsia="zh-CN"/>
              </w:rPr>
            </w:pPr>
            <w:bookmarkStart w:id="48" w:name="_Toc161736614"/>
            <w:bookmarkStart w:id="49" w:name="_Toc13525"/>
            <w:r>
              <w:rPr>
                <w:rFonts w:hint="eastAsia" w:ascii="宋体" w:hAnsi="宋体"/>
                <w:color w:val="auto"/>
                <w:sz w:val="24"/>
                <w:lang w:val="en-US" w:eastAsia="zh-CN"/>
              </w:rPr>
              <w:t>13</w:t>
            </w:r>
          </w:p>
        </w:tc>
        <w:tc>
          <w:tcPr>
            <w:tcW w:w="1137" w:type="dxa"/>
            <w:vAlign w:val="center"/>
          </w:tcPr>
          <w:p w14:paraId="67F47F15">
            <w:pPr>
              <w:spacing w:before="156" w:beforeLines="50" w:line="360" w:lineRule="auto"/>
              <w:jc w:val="center"/>
              <w:rPr>
                <w:rFonts w:hint="eastAsia" w:ascii="宋体" w:hAnsi="宋体"/>
                <w:color w:val="auto"/>
                <w:sz w:val="24"/>
              </w:rPr>
            </w:pPr>
          </w:p>
        </w:tc>
        <w:tc>
          <w:tcPr>
            <w:tcW w:w="8085" w:type="dxa"/>
            <w:vAlign w:val="center"/>
          </w:tcPr>
          <w:p w14:paraId="1C7BCC96">
            <w:pPr>
              <w:spacing w:before="156" w:beforeLines="50" w:line="360" w:lineRule="auto"/>
              <w:ind w:firstLine="470" w:firstLineChars="196"/>
              <w:jc w:val="left"/>
              <w:rPr>
                <w:rFonts w:hint="eastAsia" w:ascii="宋体" w:hAnsi="宋体"/>
                <w:b w:val="0"/>
                <w:bCs w:val="0"/>
                <w:color w:val="auto"/>
                <w:sz w:val="24"/>
              </w:rPr>
            </w:pPr>
            <w:r>
              <w:rPr>
                <w:rFonts w:hint="eastAsia" w:ascii="宋体" w:hAnsi="宋体"/>
                <w:b w:val="0"/>
                <w:bCs w:val="0"/>
                <w:color w:val="auto"/>
                <w:sz w:val="24"/>
                <w:lang w:eastAsia="zh-CN"/>
              </w:rPr>
              <w:t>（</w:t>
            </w:r>
            <w:r>
              <w:rPr>
                <w:rFonts w:hint="eastAsia" w:ascii="宋体" w:hAnsi="宋体"/>
                <w:b w:val="0"/>
                <w:bCs w:val="0"/>
                <w:color w:val="auto"/>
                <w:sz w:val="24"/>
                <w:lang w:val="en-US" w:eastAsia="zh-CN"/>
              </w:rPr>
              <w:t>1</w:t>
            </w:r>
            <w:r>
              <w:rPr>
                <w:rFonts w:hint="eastAsia" w:ascii="宋体" w:hAnsi="宋体"/>
                <w:b w:val="0"/>
                <w:bCs w:val="0"/>
                <w:color w:val="auto"/>
                <w:sz w:val="24"/>
                <w:lang w:eastAsia="zh-CN"/>
              </w:rPr>
              <w:t>）</w:t>
            </w:r>
            <w:r>
              <w:rPr>
                <w:rFonts w:hint="eastAsia" w:ascii="宋体" w:hAnsi="宋体"/>
                <w:b w:val="0"/>
                <w:bCs w:val="0"/>
                <w:color w:val="auto"/>
                <w:sz w:val="24"/>
              </w:rPr>
              <w:t>现场勘查：采购单位不组织供应商对作业现场及周围环境进行踏勘，供应商需要了解现场情况的可自行到现场踏勘。踏勘现场的时间由供应商自行安排，所发生的费用由供应商自行承担。</w:t>
            </w:r>
          </w:p>
          <w:p w14:paraId="76602CA2">
            <w:pPr>
              <w:spacing w:before="156" w:beforeLines="50" w:line="360" w:lineRule="auto"/>
              <w:ind w:firstLine="470" w:firstLineChars="196"/>
              <w:jc w:val="left"/>
              <w:rPr>
                <w:rFonts w:hint="eastAsia" w:ascii="宋体" w:hAnsi="宋体"/>
                <w:b/>
                <w:bCs/>
                <w:color w:val="auto"/>
                <w:sz w:val="24"/>
              </w:rPr>
            </w:pPr>
            <w:r>
              <w:rPr>
                <w:rFonts w:hint="eastAsia" w:ascii="宋体" w:hAnsi="宋体"/>
                <w:b w:val="0"/>
                <w:bCs w:val="0"/>
                <w:color w:val="auto"/>
                <w:sz w:val="24"/>
                <w:lang w:eastAsia="zh-CN"/>
              </w:rPr>
              <w:t>（</w:t>
            </w:r>
            <w:r>
              <w:rPr>
                <w:rFonts w:hint="eastAsia" w:ascii="宋体" w:hAnsi="宋体"/>
                <w:b w:val="0"/>
                <w:bCs w:val="0"/>
                <w:color w:val="auto"/>
                <w:sz w:val="24"/>
                <w:lang w:val="en-US" w:eastAsia="zh-CN"/>
              </w:rPr>
              <w:t>2</w:t>
            </w:r>
            <w:r>
              <w:rPr>
                <w:rFonts w:hint="eastAsia" w:ascii="宋体" w:hAnsi="宋体"/>
                <w:b w:val="0"/>
                <w:bCs w:val="0"/>
                <w:color w:val="auto"/>
                <w:sz w:val="24"/>
                <w:lang w:eastAsia="zh-CN"/>
              </w:rPr>
              <w:t>）</w:t>
            </w:r>
            <w:r>
              <w:rPr>
                <w:rFonts w:hint="eastAsia" w:ascii="宋体" w:hAnsi="宋体"/>
                <w:b w:val="0"/>
                <w:bCs w:val="0"/>
                <w:color w:val="auto"/>
                <w:sz w:val="24"/>
              </w:rPr>
              <w:t>本项目非依法必须招标的项目、非依法进行的政府采购项目。采购人根据内控制度，同时参照政府采购（含相关规定）程序规范本次采购活动。采购文件中关于“政府采购”的有关表述，仅出于表述参照政府采购程序过程的目的。在适用法律上不受政府采购相关法律法规限制，遵从本采购文件有关规定。</w:t>
            </w:r>
          </w:p>
        </w:tc>
      </w:tr>
      <w:tr w14:paraId="32D6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8" w:type="dxa"/>
            <w:vAlign w:val="center"/>
          </w:tcPr>
          <w:p w14:paraId="0C53CE8A">
            <w:pPr>
              <w:spacing w:before="156" w:beforeLines="50" w:line="360" w:lineRule="auto"/>
              <w:jc w:val="center"/>
              <w:rPr>
                <w:rFonts w:hint="default" w:ascii="宋体" w:hAnsi="宋体"/>
                <w:color w:val="auto"/>
                <w:sz w:val="24"/>
                <w:lang w:val="en-US" w:eastAsia="zh-CN"/>
              </w:rPr>
            </w:pPr>
            <w:r>
              <w:rPr>
                <w:rFonts w:hint="eastAsia" w:ascii="宋体" w:hAnsi="宋体"/>
                <w:color w:val="auto"/>
                <w:sz w:val="24"/>
                <w:lang w:val="en-US" w:eastAsia="zh-CN"/>
              </w:rPr>
              <w:t>14</w:t>
            </w:r>
          </w:p>
        </w:tc>
        <w:tc>
          <w:tcPr>
            <w:tcW w:w="1137" w:type="dxa"/>
            <w:vAlign w:val="center"/>
          </w:tcPr>
          <w:p w14:paraId="5B97D123">
            <w:pPr>
              <w:spacing w:before="156" w:beforeLines="50" w:line="360" w:lineRule="auto"/>
              <w:jc w:val="center"/>
              <w:rPr>
                <w:rFonts w:hint="eastAsia" w:ascii="宋体" w:hAnsi="宋体"/>
                <w:color w:val="auto"/>
                <w:sz w:val="24"/>
              </w:rPr>
            </w:pPr>
          </w:p>
        </w:tc>
        <w:tc>
          <w:tcPr>
            <w:tcW w:w="8085" w:type="dxa"/>
            <w:vAlign w:val="center"/>
          </w:tcPr>
          <w:p w14:paraId="10A44740">
            <w:pPr>
              <w:spacing w:before="156" w:beforeLines="50" w:line="360" w:lineRule="auto"/>
              <w:ind w:firstLine="470" w:firstLineChars="196"/>
              <w:jc w:val="left"/>
              <w:rPr>
                <w:rFonts w:hint="eastAsia" w:ascii="宋体" w:hAnsi="宋体"/>
                <w:b w:val="0"/>
                <w:bCs w:val="0"/>
                <w:color w:val="auto"/>
                <w:sz w:val="24"/>
                <w:lang w:eastAsia="zh-CN"/>
              </w:rPr>
            </w:pPr>
            <w:r>
              <w:rPr>
                <w:rFonts w:hint="eastAsia" w:ascii="Times New Roman" w:hAnsi="Times New Roman" w:eastAsia="宋体" w:cs="Times New Roman"/>
                <w:color w:val="auto"/>
                <w:kern w:val="2"/>
                <w:sz w:val="24"/>
                <w:szCs w:val="24"/>
                <w:highlight w:val="none"/>
                <w:lang w:val="en-US" w:eastAsia="zh-CN"/>
              </w:rPr>
              <w:t>磋商小组认为供应商的报价明显低于其他通过符合性审查供应商的报价，使得其投标报价可能低于其个别成本的，有可能影响产品质量或不能诚信履约的，应要求其在评标现场合理的时间内提供书面说明，必要时还应要求其一并提交有关证明材料；供应商不能证明其报价合理性的，磋商小组将认定该供应商报价低于成本报价，应当将其作为无效投标处理。出现下列情形之一的，磋商小组应当启动异常低价投标审查程序：（一）投标报价低于全部通过符合性审查供应商投标报价平均值50%的，即投标报价&lt;全部通过符合性审查供应商投标报价平均值×50%；（二）投标报价低于通过符合性审查且报价次低供应商投标报价50%的，即投标报价&lt;通过符合性审查且报价次低供应商投标报价×50%；（三）投标报价低于采购项目最高限价45%的，即投标报价&lt;采购项目最高限价×45%；（四）其他磋商小组认为供应商报价过低，使得其投标报价可能低于其个别成本的，有可能影响产品质量或者不能诚信履约的情形。磋商小组启动异常低价投标审查后，应当要求相关供应商在评审现场合理的时间内提供书面说明及必要的证明材料，对投标价格作出解释。书面说明、证明材料主要是项目具体成本测算等与必要的证明材料。如果投标供应商不提供书面说明、必要的证明材料，或者提供的书面说明、证明材料不能证明其报价合理性的，磋商小组将认定该供应商报价低于成本报价，应当将其作为无效投标处理。</w:t>
            </w:r>
          </w:p>
        </w:tc>
      </w:tr>
    </w:tbl>
    <w:p w14:paraId="2A0F0D42">
      <w:pPr>
        <w:pStyle w:val="2"/>
        <w:spacing w:line="360" w:lineRule="auto"/>
        <w:rPr>
          <w:rFonts w:ascii="宋体" w:hAnsi="宋体"/>
          <w:b w:val="0"/>
          <w:color w:val="auto"/>
          <w:sz w:val="24"/>
          <w:szCs w:val="24"/>
        </w:rPr>
      </w:pPr>
      <w:bookmarkStart w:id="50" w:name="_Toc31587"/>
      <w:r>
        <w:rPr>
          <w:rFonts w:hint="eastAsia" w:ascii="宋体" w:hAnsi="宋体"/>
          <w:color w:val="auto"/>
          <w:sz w:val="24"/>
          <w:szCs w:val="24"/>
        </w:rPr>
        <w:t>附件一</w:t>
      </w:r>
      <w:r>
        <w:rPr>
          <w:rFonts w:hint="eastAsia" w:ascii="宋体" w:hAnsi="宋体"/>
          <w:b w:val="0"/>
          <w:color w:val="auto"/>
          <w:sz w:val="24"/>
          <w:szCs w:val="24"/>
        </w:rPr>
        <w:t>（资格标准）</w:t>
      </w:r>
      <w:bookmarkEnd w:id="48"/>
      <w:bookmarkEnd w:id="49"/>
      <w:bookmarkEnd w:id="50"/>
    </w:p>
    <w:tbl>
      <w:tblPr>
        <w:tblStyle w:val="31"/>
        <w:tblW w:w="10201"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7825"/>
      </w:tblGrid>
      <w:tr w14:paraId="1D09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6B88DC70">
            <w:pPr>
              <w:widowControl/>
              <w:jc w:val="center"/>
              <w:rPr>
                <w:rFonts w:hint="eastAsia" w:ascii="宋体" w:hAnsi="宋体" w:cs="宋体"/>
                <w:b/>
                <w:bCs/>
                <w:color w:val="auto"/>
                <w:kern w:val="0"/>
                <w:sz w:val="24"/>
              </w:rPr>
            </w:pPr>
            <w:r>
              <w:rPr>
                <w:rFonts w:ascii="宋体" w:hAnsi="宋体" w:cs="宋体"/>
                <w:b/>
                <w:bCs/>
                <w:color w:val="auto"/>
                <w:kern w:val="0"/>
                <w:sz w:val="24"/>
              </w:rPr>
              <w:t>明细</w:t>
            </w:r>
          </w:p>
        </w:tc>
        <w:tc>
          <w:tcPr>
            <w:tcW w:w="7825" w:type="dxa"/>
            <w:vAlign w:val="center"/>
          </w:tcPr>
          <w:p w14:paraId="3B4274F2">
            <w:pPr>
              <w:widowControl/>
              <w:jc w:val="center"/>
              <w:rPr>
                <w:rFonts w:hint="eastAsia" w:ascii="宋体" w:hAnsi="宋体" w:cs="宋体"/>
                <w:b/>
                <w:bCs/>
                <w:color w:val="auto"/>
                <w:kern w:val="0"/>
                <w:sz w:val="24"/>
              </w:rPr>
            </w:pPr>
            <w:r>
              <w:rPr>
                <w:rFonts w:ascii="宋体" w:hAnsi="宋体" w:cs="宋体"/>
                <w:b/>
                <w:bCs/>
                <w:color w:val="auto"/>
                <w:kern w:val="0"/>
                <w:sz w:val="24"/>
              </w:rPr>
              <w:t>描述</w:t>
            </w:r>
          </w:p>
        </w:tc>
      </w:tr>
      <w:tr w14:paraId="1FCA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1587B661">
            <w:pPr>
              <w:pStyle w:val="48"/>
              <w:widowControl w:val="0"/>
              <w:jc w:val="both"/>
              <w:rPr>
                <w:rFonts w:ascii="宋体" w:hAnsi="宋体"/>
                <w:color w:val="auto"/>
                <w:sz w:val="24"/>
                <w:szCs w:val="24"/>
              </w:rPr>
            </w:pPr>
            <w:r>
              <w:rPr>
                <w:rFonts w:ascii="宋体" w:hAnsi="宋体"/>
                <w:color w:val="auto"/>
                <w:sz w:val="24"/>
                <w:szCs w:val="24"/>
              </w:rPr>
              <w:t>单位负责人授权书</w:t>
            </w:r>
          </w:p>
        </w:tc>
        <w:tc>
          <w:tcPr>
            <w:tcW w:w="7825" w:type="dxa"/>
          </w:tcPr>
          <w:p w14:paraId="520CC13E">
            <w:pPr>
              <w:pStyle w:val="48"/>
              <w:widowControl w:val="0"/>
              <w:jc w:val="both"/>
              <w:rPr>
                <w:rFonts w:ascii="宋体" w:hAnsi="宋体"/>
                <w:color w:val="auto"/>
                <w:sz w:val="24"/>
                <w:szCs w:val="24"/>
              </w:rPr>
            </w:pPr>
            <w:r>
              <w:rPr>
                <w:rFonts w:ascii="宋体" w:hAnsi="宋体"/>
                <w:color w:val="auto"/>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D3C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05222B49">
            <w:pPr>
              <w:pStyle w:val="48"/>
              <w:widowControl w:val="0"/>
              <w:jc w:val="both"/>
              <w:rPr>
                <w:rFonts w:ascii="宋体" w:hAnsi="宋体"/>
                <w:color w:val="auto"/>
                <w:sz w:val="24"/>
                <w:szCs w:val="24"/>
              </w:rPr>
            </w:pPr>
            <w:r>
              <w:rPr>
                <w:rFonts w:ascii="宋体" w:hAnsi="宋体"/>
                <w:color w:val="auto"/>
                <w:sz w:val="24"/>
                <w:szCs w:val="24"/>
              </w:rPr>
              <w:t>营业执照等证明文件</w:t>
            </w:r>
          </w:p>
        </w:tc>
        <w:tc>
          <w:tcPr>
            <w:tcW w:w="7825" w:type="dxa"/>
          </w:tcPr>
          <w:p w14:paraId="624798EA">
            <w:pPr>
              <w:pStyle w:val="48"/>
              <w:widowControl w:val="0"/>
              <w:jc w:val="both"/>
              <w:rPr>
                <w:rFonts w:ascii="宋体" w:hAnsi="宋体"/>
                <w:color w:val="auto"/>
                <w:sz w:val="24"/>
                <w:szCs w:val="24"/>
              </w:rPr>
            </w:pPr>
            <w:r>
              <w:rPr>
                <w:rFonts w:ascii="宋体" w:hAnsi="宋体"/>
                <w:color w:val="auto"/>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0B9F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10653568">
            <w:pPr>
              <w:pStyle w:val="48"/>
              <w:widowControl w:val="0"/>
              <w:jc w:val="both"/>
              <w:rPr>
                <w:rFonts w:ascii="宋体" w:hAnsi="宋体"/>
                <w:color w:val="auto"/>
                <w:sz w:val="24"/>
                <w:szCs w:val="24"/>
              </w:rPr>
            </w:pPr>
            <w:r>
              <w:rPr>
                <w:rFonts w:ascii="宋体" w:hAnsi="宋体"/>
                <w:color w:val="auto"/>
                <w:sz w:val="24"/>
                <w:szCs w:val="24"/>
              </w:rPr>
              <w:t>提供财务状况报告（财务报告、或资信证明）</w:t>
            </w:r>
          </w:p>
        </w:tc>
        <w:tc>
          <w:tcPr>
            <w:tcW w:w="7825" w:type="dxa"/>
          </w:tcPr>
          <w:p w14:paraId="386A3198">
            <w:pPr>
              <w:pStyle w:val="48"/>
              <w:widowControl w:val="0"/>
              <w:jc w:val="both"/>
              <w:rPr>
                <w:rFonts w:ascii="宋体" w:hAnsi="宋体"/>
                <w:color w:val="auto"/>
                <w:sz w:val="24"/>
                <w:szCs w:val="24"/>
              </w:rPr>
            </w:pPr>
            <w:r>
              <w:rPr>
                <w:rFonts w:ascii="宋体" w:hAnsi="宋体"/>
                <w:color w:val="auto"/>
                <w:sz w:val="24"/>
                <w:szCs w:val="24"/>
              </w:rPr>
              <w:t>①供应商提供的财务报告复印件（成立年限按照提交响应文件截止时间推算）应符合下列规定：a.成立年限满1年及以上的供应商，提供经审计的上一年度的年度财务报告</w:t>
            </w:r>
            <w:r>
              <w:rPr>
                <w:rFonts w:hint="eastAsia" w:ascii="宋体" w:hAnsi="宋体"/>
                <w:color w:val="auto"/>
                <w:sz w:val="24"/>
                <w:szCs w:val="24"/>
                <w:lang w:eastAsia="zh-CN"/>
              </w:rPr>
              <w:t>（</w:t>
            </w:r>
            <w:r>
              <w:rPr>
                <w:rFonts w:ascii="宋体" w:hAnsi="宋体" w:eastAsia="宋体" w:cs="宋体"/>
                <w:color w:val="auto"/>
                <w:sz w:val="24"/>
                <w:szCs w:val="24"/>
              </w:rPr>
              <w:t>上一年度”是指202</w:t>
            </w:r>
            <w:r>
              <w:rPr>
                <w:rFonts w:hint="eastAsia" w:ascii="宋体" w:hAnsi="宋体" w:eastAsia="宋体" w:cs="宋体"/>
                <w:color w:val="auto"/>
                <w:sz w:val="24"/>
                <w:szCs w:val="24"/>
                <w:lang w:val="en-US" w:eastAsia="zh-CN"/>
              </w:rPr>
              <w:t>4</w:t>
            </w:r>
            <w:r>
              <w:rPr>
                <w:rFonts w:ascii="宋体" w:hAnsi="宋体" w:eastAsia="宋体" w:cs="宋体"/>
                <w:color w:val="auto"/>
                <w:sz w:val="24"/>
                <w:szCs w:val="24"/>
              </w:rPr>
              <w:t>或者202</w:t>
            </w:r>
            <w:r>
              <w:rPr>
                <w:rFonts w:hint="eastAsia" w:ascii="宋体" w:hAnsi="宋体" w:eastAsia="宋体" w:cs="宋体"/>
                <w:color w:val="auto"/>
                <w:sz w:val="24"/>
                <w:szCs w:val="24"/>
                <w:lang w:val="en-US" w:eastAsia="zh-CN"/>
              </w:rPr>
              <w:t>5</w:t>
            </w:r>
            <w:r>
              <w:rPr>
                <w:rFonts w:ascii="宋体" w:hAnsi="宋体" w:eastAsia="宋体" w:cs="宋体"/>
                <w:color w:val="auto"/>
                <w:sz w:val="24"/>
                <w:szCs w:val="24"/>
              </w:rPr>
              <w:t>年度</w:t>
            </w:r>
            <w:r>
              <w:rPr>
                <w:rFonts w:hint="eastAsia" w:ascii="宋体" w:hAnsi="宋体"/>
                <w:color w:val="auto"/>
                <w:sz w:val="24"/>
                <w:szCs w:val="24"/>
                <w:lang w:eastAsia="zh-CN"/>
              </w:rPr>
              <w:t>）</w:t>
            </w:r>
            <w:r>
              <w:rPr>
                <w:rFonts w:ascii="宋体" w:hAnsi="宋体"/>
                <w:color w:val="auto"/>
                <w:sz w:val="24"/>
                <w:szCs w:val="24"/>
              </w:rPr>
              <w:t>。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3C49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5E85CB72">
            <w:pPr>
              <w:pStyle w:val="48"/>
              <w:widowControl w:val="0"/>
              <w:jc w:val="both"/>
              <w:rPr>
                <w:rFonts w:ascii="宋体" w:hAnsi="宋体"/>
                <w:color w:val="auto"/>
                <w:sz w:val="24"/>
                <w:szCs w:val="24"/>
              </w:rPr>
            </w:pPr>
            <w:r>
              <w:rPr>
                <w:rFonts w:ascii="宋体" w:hAnsi="宋体"/>
                <w:color w:val="auto"/>
                <w:sz w:val="24"/>
                <w:szCs w:val="24"/>
              </w:rPr>
              <w:t>依法缴纳税收证明材料</w:t>
            </w:r>
          </w:p>
        </w:tc>
        <w:tc>
          <w:tcPr>
            <w:tcW w:w="7825" w:type="dxa"/>
          </w:tcPr>
          <w:p w14:paraId="54CC33DD">
            <w:pPr>
              <w:pStyle w:val="48"/>
              <w:widowControl w:val="0"/>
              <w:jc w:val="both"/>
              <w:rPr>
                <w:rFonts w:ascii="宋体" w:hAnsi="宋体"/>
                <w:color w:val="auto"/>
                <w:sz w:val="24"/>
                <w:szCs w:val="24"/>
              </w:rPr>
            </w:pPr>
            <w:r>
              <w:rPr>
                <w:rFonts w:ascii="宋体" w:hAnsi="宋体"/>
                <w:color w:val="auto"/>
                <w:sz w:val="24"/>
                <w:szCs w:val="24"/>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342F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4A518D5B">
            <w:pPr>
              <w:pStyle w:val="48"/>
              <w:widowControl w:val="0"/>
              <w:jc w:val="both"/>
              <w:rPr>
                <w:rFonts w:ascii="宋体" w:hAnsi="宋体"/>
                <w:color w:val="auto"/>
                <w:sz w:val="24"/>
                <w:szCs w:val="24"/>
              </w:rPr>
            </w:pPr>
            <w:r>
              <w:rPr>
                <w:rFonts w:ascii="宋体" w:hAnsi="宋体"/>
                <w:color w:val="auto"/>
                <w:sz w:val="24"/>
                <w:szCs w:val="24"/>
              </w:rPr>
              <w:t>依法缴纳社会保障资金证明材料</w:t>
            </w:r>
          </w:p>
        </w:tc>
        <w:tc>
          <w:tcPr>
            <w:tcW w:w="7825" w:type="dxa"/>
          </w:tcPr>
          <w:p w14:paraId="521F0D49">
            <w:pPr>
              <w:pStyle w:val="48"/>
              <w:widowControl w:val="0"/>
              <w:jc w:val="both"/>
              <w:rPr>
                <w:rFonts w:ascii="宋体" w:hAnsi="宋体"/>
                <w:color w:val="auto"/>
                <w:sz w:val="24"/>
                <w:szCs w:val="24"/>
              </w:rPr>
            </w:pPr>
            <w:r>
              <w:rPr>
                <w:rFonts w:ascii="宋体" w:hAnsi="宋体"/>
                <w:color w:val="auto"/>
                <w:sz w:val="24"/>
                <w:szCs w:val="24"/>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C1F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5E70304B">
            <w:pPr>
              <w:pStyle w:val="48"/>
              <w:widowControl w:val="0"/>
              <w:jc w:val="both"/>
              <w:rPr>
                <w:rFonts w:ascii="宋体" w:hAnsi="宋体"/>
                <w:color w:val="auto"/>
                <w:sz w:val="24"/>
                <w:szCs w:val="24"/>
              </w:rPr>
            </w:pPr>
            <w:r>
              <w:rPr>
                <w:rFonts w:ascii="宋体" w:hAnsi="宋体"/>
                <w:color w:val="auto"/>
                <w:sz w:val="24"/>
                <w:szCs w:val="24"/>
              </w:rPr>
              <w:t>具备履行合同所必需设备和专业技术能力的声明函(若有)</w:t>
            </w:r>
          </w:p>
        </w:tc>
        <w:tc>
          <w:tcPr>
            <w:tcW w:w="7825" w:type="dxa"/>
          </w:tcPr>
          <w:p w14:paraId="70523E78">
            <w:pPr>
              <w:pStyle w:val="48"/>
              <w:widowControl w:val="0"/>
              <w:jc w:val="both"/>
              <w:rPr>
                <w:rFonts w:ascii="宋体" w:hAnsi="宋体"/>
                <w:color w:val="auto"/>
                <w:sz w:val="24"/>
                <w:szCs w:val="24"/>
              </w:rPr>
            </w:pPr>
            <w:r>
              <w:rPr>
                <w:rFonts w:ascii="宋体" w:hAnsi="宋体"/>
                <w:color w:val="auto"/>
                <w:sz w:val="24"/>
                <w:szCs w:val="24"/>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35B0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3BD753EE">
            <w:pPr>
              <w:pStyle w:val="48"/>
              <w:widowControl w:val="0"/>
              <w:jc w:val="both"/>
              <w:rPr>
                <w:rFonts w:ascii="宋体" w:hAnsi="宋体"/>
                <w:color w:val="auto"/>
                <w:sz w:val="24"/>
                <w:szCs w:val="24"/>
              </w:rPr>
            </w:pPr>
            <w:r>
              <w:rPr>
                <w:rFonts w:ascii="宋体" w:hAnsi="宋体"/>
                <w:color w:val="auto"/>
                <w:sz w:val="24"/>
                <w:szCs w:val="24"/>
              </w:rPr>
              <w:t>参加采购活动前三年内在经营活动中没有重大违法记录的声明</w:t>
            </w:r>
          </w:p>
        </w:tc>
        <w:tc>
          <w:tcPr>
            <w:tcW w:w="7825" w:type="dxa"/>
          </w:tcPr>
          <w:p w14:paraId="5AF10861">
            <w:pPr>
              <w:pStyle w:val="48"/>
              <w:widowControl w:val="0"/>
              <w:jc w:val="both"/>
              <w:rPr>
                <w:rFonts w:ascii="宋体" w:hAnsi="宋体"/>
                <w:color w:val="auto"/>
                <w:sz w:val="24"/>
                <w:szCs w:val="24"/>
              </w:rPr>
            </w:pPr>
            <w:r>
              <w:rPr>
                <w:rFonts w:ascii="宋体" w:hAnsi="宋体"/>
                <w:color w:val="auto"/>
                <w:sz w:val="24"/>
                <w:szCs w:val="24"/>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EAD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6335466F">
            <w:pPr>
              <w:pStyle w:val="48"/>
              <w:widowControl w:val="0"/>
              <w:jc w:val="both"/>
              <w:rPr>
                <w:rFonts w:ascii="宋体" w:hAnsi="宋体"/>
                <w:color w:val="auto"/>
                <w:sz w:val="24"/>
                <w:szCs w:val="24"/>
              </w:rPr>
            </w:pPr>
            <w:r>
              <w:rPr>
                <w:rFonts w:ascii="宋体" w:hAnsi="宋体"/>
                <w:color w:val="auto"/>
                <w:sz w:val="24"/>
                <w:szCs w:val="24"/>
              </w:rPr>
              <w:t>信用记录查询结果</w:t>
            </w:r>
          </w:p>
        </w:tc>
        <w:tc>
          <w:tcPr>
            <w:tcW w:w="7825" w:type="dxa"/>
          </w:tcPr>
          <w:p w14:paraId="471DF82C">
            <w:pPr>
              <w:pStyle w:val="48"/>
              <w:widowControl w:val="0"/>
              <w:jc w:val="both"/>
              <w:rPr>
                <w:rFonts w:ascii="宋体" w:hAnsi="宋体"/>
                <w:color w:val="auto"/>
                <w:sz w:val="24"/>
                <w:szCs w:val="24"/>
              </w:rPr>
            </w:pPr>
            <w:r>
              <w:rPr>
                <w:rFonts w:ascii="宋体" w:hAnsi="宋体"/>
                <w:color w:val="auto"/>
                <w:sz w:val="24"/>
                <w:szCs w:val="24"/>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bl>
    <w:p w14:paraId="3E0DF5E3">
      <w:pPr>
        <w:pStyle w:val="6"/>
        <w:rPr>
          <w:color w:val="auto"/>
        </w:rPr>
      </w:pPr>
    </w:p>
    <w:p w14:paraId="4E539F7E">
      <w:pPr>
        <w:pStyle w:val="2"/>
        <w:spacing w:before="120" w:line="240" w:lineRule="auto"/>
        <w:rPr>
          <w:rFonts w:ascii="宋体" w:hAnsi="宋体"/>
          <w:color w:val="auto"/>
          <w:sz w:val="24"/>
          <w:szCs w:val="24"/>
        </w:rPr>
      </w:pPr>
      <w:bookmarkStart w:id="51" w:name="_Toc7904"/>
      <w:bookmarkStart w:id="52" w:name="_Toc11826"/>
      <w:bookmarkStart w:id="53" w:name="_Toc161736615"/>
      <w:r>
        <w:rPr>
          <w:rFonts w:hint="eastAsia" w:ascii="宋体" w:hAnsi="宋体"/>
          <w:color w:val="auto"/>
          <w:sz w:val="24"/>
          <w:szCs w:val="24"/>
        </w:rPr>
        <w:t>附件二</w:t>
      </w:r>
      <w:r>
        <w:rPr>
          <w:rFonts w:hint="eastAsia" w:ascii="宋体" w:hAnsi="宋体"/>
          <w:b w:val="0"/>
          <w:color w:val="auto"/>
          <w:sz w:val="24"/>
          <w:szCs w:val="24"/>
        </w:rPr>
        <w:t>（评审标准和方法）</w:t>
      </w:r>
      <w:bookmarkEnd w:id="51"/>
      <w:bookmarkEnd w:id="52"/>
      <w:bookmarkEnd w:id="53"/>
    </w:p>
    <w:p w14:paraId="075F6EA5">
      <w:pPr>
        <w:rPr>
          <w:rFonts w:hint="eastAsia" w:ascii="宋体" w:hAnsi="宋体"/>
          <w:b/>
          <w:color w:val="auto"/>
          <w:sz w:val="24"/>
        </w:rPr>
      </w:pPr>
      <w:r>
        <w:rPr>
          <w:rFonts w:hint="eastAsia" w:ascii="宋体" w:hAnsi="宋体"/>
          <w:b/>
          <w:color w:val="auto"/>
          <w:sz w:val="24"/>
          <w:lang w:eastAsia="zh-CN"/>
        </w:rPr>
        <w:t>采购包</w:t>
      </w:r>
      <w:r>
        <w:rPr>
          <w:rFonts w:hint="eastAsia" w:ascii="宋体" w:hAnsi="宋体"/>
          <w:b/>
          <w:color w:val="auto"/>
          <w:sz w:val="24"/>
        </w:rPr>
        <w:t>1评审标准和方法：</w:t>
      </w:r>
    </w:p>
    <w:p w14:paraId="60CE16A9">
      <w:pPr>
        <w:spacing w:line="360" w:lineRule="auto"/>
        <w:ind w:firstLine="470" w:firstLineChars="196"/>
        <w:rPr>
          <w:rFonts w:hint="eastAsia" w:ascii="宋体" w:hAnsi="宋体"/>
          <w:color w:val="auto"/>
          <w:sz w:val="24"/>
        </w:rPr>
      </w:pPr>
      <w:r>
        <w:rPr>
          <w:rFonts w:hint="eastAsia" w:ascii="宋体" w:hAnsi="宋体"/>
          <w:color w:val="auto"/>
          <w:sz w:val="24"/>
        </w:rPr>
        <w:t>磋商小组将按照</w:t>
      </w:r>
      <w:r>
        <w:rPr>
          <w:rFonts w:hint="eastAsia" w:ascii="宋体" w:hAnsi="宋体"/>
          <w:color w:val="auto"/>
          <w:sz w:val="24"/>
          <w:lang w:eastAsia="zh-CN"/>
        </w:rPr>
        <w:t>采购包</w:t>
      </w:r>
      <w:r>
        <w:rPr>
          <w:rFonts w:hint="eastAsia" w:ascii="宋体" w:hAnsi="宋体"/>
          <w:color w:val="auto"/>
          <w:sz w:val="24"/>
        </w:rPr>
        <w:t>的顺序分别对通过资格及符合性审查且满足磋商文件全部实质性要求的各合格供应商根据以下统一的标准和方法进行磋商和评估。</w:t>
      </w:r>
    </w:p>
    <w:p w14:paraId="5FE50761">
      <w:pPr>
        <w:spacing w:line="360" w:lineRule="auto"/>
        <w:ind w:firstLine="470" w:firstLineChars="196"/>
        <w:rPr>
          <w:rFonts w:hint="eastAsia" w:ascii="宋体" w:hAnsi="宋体"/>
          <w:bCs/>
          <w:color w:val="auto"/>
          <w:sz w:val="24"/>
        </w:rPr>
      </w:pPr>
      <w:r>
        <w:rPr>
          <w:rFonts w:hint="eastAsia" w:ascii="宋体" w:hAnsi="宋体"/>
          <w:bCs/>
          <w:color w:val="auto"/>
          <w:sz w:val="24"/>
        </w:rPr>
        <w:t>为明确本次采购项目的各项技术要求，各供应商应接受磋商小组可能多次的询问、质疑和磋商，若供应商不接受磋商小组的询问、质疑和谈判，磋商小组将直接根据供应商响应文件的内容进行判定（按照不利于供应商的内容判定）。磋商结束后在磋商小组规定的时间内，所有给予参加磋商资格的供应商都须进行最终报价，</w:t>
      </w:r>
      <w:r>
        <w:rPr>
          <w:rFonts w:hint="eastAsia" w:ascii="宋体" w:hAnsi="宋体"/>
          <w:color w:val="auto"/>
          <w:sz w:val="24"/>
        </w:rPr>
        <w:t>否则报价无效</w:t>
      </w:r>
      <w:r>
        <w:rPr>
          <w:rFonts w:hint="eastAsia" w:ascii="宋体" w:hAnsi="宋体"/>
          <w:bCs/>
          <w:color w:val="auto"/>
          <w:sz w:val="24"/>
        </w:rPr>
        <w:t>。</w:t>
      </w:r>
    </w:p>
    <w:p w14:paraId="30D3F5D0">
      <w:pPr>
        <w:spacing w:line="360" w:lineRule="auto"/>
        <w:ind w:firstLine="470" w:firstLineChars="196"/>
        <w:rPr>
          <w:rFonts w:hint="eastAsia" w:ascii="宋体" w:hAnsi="宋体"/>
          <w:b/>
          <w:color w:val="auto"/>
          <w:sz w:val="24"/>
        </w:rPr>
      </w:pPr>
      <w:r>
        <w:rPr>
          <w:rFonts w:hint="eastAsia" w:ascii="宋体" w:hAnsi="宋体"/>
          <w:bCs/>
          <w:color w:val="auto"/>
          <w:sz w:val="24"/>
        </w:rPr>
        <w:t>磋商小组与具有磋商资格的供应商分别进行磋商，经磋商确定最终采购需求和提交最后报价的供应商后，由磋商小组采用综合评分法对提交有效最终报价的供应商的响应文件和有效最终报价进行综合评分。</w:t>
      </w:r>
      <w:r>
        <w:rPr>
          <w:rFonts w:hint="eastAsia" w:ascii="宋体" w:hAnsi="宋体"/>
          <w:color w:val="auto"/>
          <w:sz w:val="24"/>
        </w:rPr>
        <w:t>评分将按技术部分、商务部分和报价部分分别进行，计算出相应</w:t>
      </w:r>
      <w:r>
        <w:rPr>
          <w:rFonts w:hint="eastAsia" w:ascii="宋体" w:hAnsi="宋体"/>
          <w:color w:val="auto"/>
          <w:sz w:val="24"/>
          <w:lang w:eastAsia="zh-CN"/>
        </w:rPr>
        <w:t>采购包</w:t>
      </w:r>
      <w:r>
        <w:rPr>
          <w:rFonts w:hint="eastAsia" w:ascii="宋体" w:hAnsi="宋体"/>
          <w:color w:val="auto"/>
          <w:sz w:val="24"/>
        </w:rPr>
        <w:t>各合格供应商的综合得分，综合得分最高者将被推荐为该</w:t>
      </w:r>
      <w:r>
        <w:rPr>
          <w:rFonts w:hint="eastAsia" w:ascii="宋体" w:hAnsi="宋体"/>
          <w:color w:val="auto"/>
          <w:sz w:val="24"/>
          <w:lang w:eastAsia="zh-CN"/>
        </w:rPr>
        <w:t>采购包</w:t>
      </w:r>
      <w:r>
        <w:rPr>
          <w:rFonts w:hint="eastAsia" w:ascii="宋体" w:hAnsi="宋体"/>
          <w:color w:val="auto"/>
          <w:sz w:val="24"/>
        </w:rPr>
        <w:t>的成交候选人。评审得分相同，按照</w:t>
      </w:r>
      <w:r>
        <w:rPr>
          <w:rFonts w:hint="eastAsia" w:ascii="宋体" w:hAnsi="宋体"/>
          <w:bCs/>
          <w:color w:val="auto"/>
          <w:sz w:val="24"/>
        </w:rPr>
        <w:t>有效最终报价</w:t>
      </w:r>
      <w:r>
        <w:rPr>
          <w:rFonts w:hint="eastAsia" w:ascii="宋体" w:hAnsi="宋体"/>
          <w:color w:val="auto"/>
          <w:sz w:val="24"/>
        </w:rPr>
        <w:t>由低到高的顺序推荐；评审得分且</w:t>
      </w:r>
      <w:r>
        <w:rPr>
          <w:rFonts w:hint="eastAsia" w:ascii="宋体" w:hAnsi="宋体"/>
          <w:bCs/>
          <w:color w:val="auto"/>
          <w:sz w:val="24"/>
        </w:rPr>
        <w:t>有效最终报价</w:t>
      </w:r>
      <w:r>
        <w:rPr>
          <w:rFonts w:hint="eastAsia" w:ascii="宋体" w:hAnsi="宋体"/>
          <w:color w:val="auto"/>
          <w:sz w:val="24"/>
        </w:rPr>
        <w:t>相同，按照技术部分得分由高到低的顺序推荐；若技术部分得分再相同，则采取随机抽取方式推荐成交候选人。</w:t>
      </w:r>
      <w:r>
        <w:rPr>
          <w:rFonts w:hint="eastAsia" w:ascii="宋体" w:hAnsi="宋体"/>
          <w:b/>
          <w:color w:val="auto"/>
          <w:sz w:val="24"/>
        </w:rPr>
        <w:t>（</w:t>
      </w:r>
      <w:r>
        <w:rPr>
          <w:rFonts w:hint="eastAsia" w:ascii="宋体" w:hAnsi="宋体"/>
          <w:b/>
          <w:bCs/>
          <w:color w:val="auto"/>
          <w:sz w:val="24"/>
        </w:rPr>
        <w:t>依次推荐三名成交候选人。</w:t>
      </w:r>
      <w:r>
        <w:rPr>
          <w:rFonts w:hint="eastAsia" w:ascii="宋体" w:hAnsi="宋体"/>
          <w:b/>
          <w:color w:val="auto"/>
          <w:sz w:val="24"/>
        </w:rPr>
        <w:t>）</w:t>
      </w:r>
    </w:p>
    <w:p w14:paraId="19709BC1">
      <w:pPr>
        <w:spacing w:line="360" w:lineRule="auto"/>
        <w:ind w:firstLine="482" w:firstLineChars="200"/>
        <w:rPr>
          <w:rFonts w:hint="eastAsia" w:ascii="宋体" w:hAnsi="宋体"/>
          <w:color w:val="auto"/>
          <w:sz w:val="24"/>
        </w:rPr>
      </w:pPr>
      <w:r>
        <w:rPr>
          <w:rFonts w:hint="eastAsia" w:ascii="宋体" w:hAnsi="宋体"/>
          <w:b/>
          <w:color w:val="auto"/>
          <w:sz w:val="24"/>
        </w:rPr>
        <w:t>分值分布如下：（</w:t>
      </w:r>
      <w:r>
        <w:rPr>
          <w:rFonts w:hint="eastAsia" w:ascii="宋体" w:hAnsi="宋体"/>
          <w:color w:val="auto"/>
          <w:sz w:val="24"/>
        </w:rPr>
        <w:t>备注：计算分数时四舍五入保留小数点后两位。</w:t>
      </w:r>
      <w:r>
        <w:rPr>
          <w:rFonts w:hint="eastAsia" w:ascii="宋体" w:hAnsi="宋体"/>
          <w:b/>
          <w:color w:val="auto"/>
          <w:sz w:val="24"/>
        </w:rPr>
        <w:t>）</w:t>
      </w:r>
    </w:p>
    <w:p w14:paraId="5A75E692">
      <w:pPr>
        <w:spacing w:line="420" w:lineRule="exact"/>
        <w:ind w:firstLine="435"/>
        <w:rPr>
          <w:rFonts w:ascii="宋体" w:hAnsi="宋体"/>
          <w:b/>
          <w:sz w:val="24"/>
          <w:szCs w:val="24"/>
        </w:rPr>
      </w:pPr>
      <w:r>
        <w:rPr>
          <w:rFonts w:hint="eastAsia" w:ascii="宋体" w:hAnsi="宋体"/>
          <w:b/>
          <w:sz w:val="24"/>
          <w:szCs w:val="24"/>
        </w:rPr>
        <w:t>各部分评分分值分布如下：</w:t>
      </w:r>
    </w:p>
    <w:p w14:paraId="102DC761">
      <w:pPr>
        <w:spacing w:line="400" w:lineRule="exact"/>
        <w:ind w:left="-53" w:leftChars="-25" w:firstLine="600" w:firstLineChars="250"/>
        <w:rPr>
          <w:rFonts w:ascii="宋体" w:hAnsi="宋体"/>
          <w:sz w:val="24"/>
          <w:szCs w:val="24"/>
          <w:highlight w:val="none"/>
        </w:rPr>
      </w:pPr>
      <w:r>
        <w:rPr>
          <w:rFonts w:hint="eastAsia" w:ascii="宋体" w:hAnsi="宋体"/>
          <w:sz w:val="24"/>
          <w:szCs w:val="24"/>
          <w:highlight w:val="none"/>
        </w:rPr>
        <w:t>A：报价部分评分          满分</w:t>
      </w:r>
      <w:r>
        <w:rPr>
          <w:rFonts w:hint="eastAsia" w:ascii="宋体" w:hAnsi="宋体"/>
          <w:sz w:val="24"/>
          <w:szCs w:val="24"/>
          <w:highlight w:val="none"/>
          <w:lang w:val="en-US" w:eastAsia="zh-CN"/>
        </w:rPr>
        <w:t>20</w:t>
      </w:r>
      <w:r>
        <w:rPr>
          <w:rFonts w:hint="eastAsia" w:ascii="宋体" w:hAnsi="宋体"/>
          <w:sz w:val="24"/>
          <w:szCs w:val="24"/>
          <w:highlight w:val="none"/>
        </w:rPr>
        <w:t>分</w:t>
      </w:r>
    </w:p>
    <w:p w14:paraId="0EFCE6AE">
      <w:pPr>
        <w:spacing w:line="400" w:lineRule="exact"/>
        <w:ind w:left="-53" w:leftChars="-25" w:firstLine="600" w:firstLineChars="250"/>
        <w:rPr>
          <w:rFonts w:ascii="宋体" w:hAnsi="宋体"/>
          <w:sz w:val="24"/>
          <w:szCs w:val="24"/>
          <w:highlight w:val="none"/>
        </w:rPr>
      </w:pPr>
      <w:r>
        <w:rPr>
          <w:rFonts w:hint="eastAsia" w:ascii="宋体" w:hAnsi="宋体"/>
          <w:sz w:val="24"/>
          <w:szCs w:val="24"/>
          <w:highlight w:val="none"/>
        </w:rPr>
        <w:t>B：技术部分评分          满分</w:t>
      </w:r>
      <w:r>
        <w:rPr>
          <w:rFonts w:hint="eastAsia" w:ascii="宋体" w:hAnsi="宋体"/>
          <w:sz w:val="24"/>
          <w:szCs w:val="24"/>
          <w:highlight w:val="none"/>
          <w:lang w:val="en-US" w:eastAsia="zh-CN"/>
        </w:rPr>
        <w:t>74</w:t>
      </w:r>
      <w:r>
        <w:rPr>
          <w:rFonts w:hint="eastAsia" w:ascii="宋体" w:hAnsi="宋体"/>
          <w:sz w:val="24"/>
          <w:szCs w:val="24"/>
          <w:highlight w:val="none"/>
        </w:rPr>
        <w:t>分</w:t>
      </w:r>
    </w:p>
    <w:p w14:paraId="1DB5AD14">
      <w:pPr>
        <w:spacing w:line="400" w:lineRule="exact"/>
        <w:ind w:left="-53" w:leftChars="-25" w:firstLine="600" w:firstLineChars="250"/>
        <w:rPr>
          <w:rFonts w:hint="eastAsia" w:ascii="宋体" w:hAnsi="宋体"/>
          <w:sz w:val="24"/>
          <w:szCs w:val="24"/>
          <w:highlight w:val="none"/>
        </w:rPr>
      </w:pPr>
      <w:r>
        <w:rPr>
          <w:rFonts w:hint="eastAsia" w:ascii="宋体" w:hAnsi="宋体"/>
          <w:sz w:val="24"/>
          <w:szCs w:val="24"/>
          <w:highlight w:val="none"/>
        </w:rPr>
        <w:t>C：商务部分评分          满分</w:t>
      </w:r>
      <w:r>
        <w:rPr>
          <w:rFonts w:hint="eastAsia" w:ascii="宋体" w:hAnsi="宋体"/>
          <w:sz w:val="24"/>
          <w:szCs w:val="24"/>
          <w:highlight w:val="none"/>
          <w:lang w:val="en-US" w:eastAsia="zh-CN"/>
        </w:rPr>
        <w:t>6</w:t>
      </w:r>
      <w:r>
        <w:rPr>
          <w:rFonts w:hint="eastAsia" w:ascii="宋体" w:hAnsi="宋体"/>
          <w:sz w:val="24"/>
          <w:szCs w:val="24"/>
          <w:highlight w:val="none"/>
        </w:rPr>
        <w:t>分</w:t>
      </w:r>
    </w:p>
    <w:p w14:paraId="035944F6">
      <w:pPr>
        <w:spacing w:line="400" w:lineRule="exact"/>
        <w:ind w:firstLine="480" w:firstLineChars="200"/>
        <w:rPr>
          <w:rFonts w:hint="eastAsia" w:ascii="宋体" w:hAnsi="宋体"/>
          <w:sz w:val="24"/>
          <w:szCs w:val="24"/>
          <w:highlight w:val="none"/>
        </w:rPr>
      </w:pPr>
      <w:r>
        <w:rPr>
          <w:rFonts w:hint="eastAsia" w:ascii="宋体" w:hAnsi="宋体"/>
          <w:sz w:val="24"/>
          <w:szCs w:val="24"/>
          <w:highlight w:val="none"/>
        </w:rPr>
        <w:t>综合评分：A+B+C</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183"/>
        <w:gridCol w:w="720"/>
        <w:gridCol w:w="7021"/>
      </w:tblGrid>
      <w:tr w14:paraId="14D6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4B3E0F21">
            <w:pPr>
              <w:pStyle w:val="26"/>
              <w:widowControl w:val="0"/>
              <w:spacing w:before="0" w:beforeAutospacing="0" w:after="0" w:afterAutospacing="0" w:line="360" w:lineRule="exact"/>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b/>
                <w:color w:val="auto"/>
                <w:kern w:val="2"/>
                <w:sz w:val="24"/>
                <w:szCs w:val="24"/>
              </w:rPr>
              <w:t>序号</w:t>
            </w:r>
          </w:p>
        </w:tc>
        <w:tc>
          <w:tcPr>
            <w:tcW w:w="1183" w:type="dxa"/>
            <w:noWrap w:val="0"/>
            <w:vAlign w:val="center"/>
          </w:tcPr>
          <w:p w14:paraId="1F2CE2BD">
            <w:pPr>
              <w:pStyle w:val="26"/>
              <w:widowControl w:val="0"/>
              <w:spacing w:before="0" w:beforeAutospacing="0" w:after="0" w:afterAutospacing="0" w:line="360" w:lineRule="exact"/>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b/>
                <w:color w:val="auto"/>
                <w:kern w:val="2"/>
                <w:sz w:val="24"/>
                <w:szCs w:val="24"/>
              </w:rPr>
              <w:t>评标项目</w:t>
            </w:r>
          </w:p>
        </w:tc>
        <w:tc>
          <w:tcPr>
            <w:tcW w:w="720" w:type="dxa"/>
            <w:noWrap w:val="0"/>
            <w:vAlign w:val="center"/>
          </w:tcPr>
          <w:p w14:paraId="05D64C10">
            <w:pPr>
              <w:pStyle w:val="26"/>
              <w:widowControl w:val="0"/>
              <w:spacing w:before="0" w:beforeAutospacing="0" w:after="0" w:afterAutospacing="0" w:line="360" w:lineRule="exact"/>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b/>
                <w:color w:val="auto"/>
                <w:kern w:val="2"/>
                <w:sz w:val="24"/>
                <w:szCs w:val="24"/>
              </w:rPr>
              <w:t>评标</w:t>
            </w:r>
          </w:p>
          <w:p w14:paraId="25913876">
            <w:pPr>
              <w:pStyle w:val="26"/>
              <w:widowControl w:val="0"/>
              <w:spacing w:before="0" w:beforeAutospacing="0" w:after="0" w:afterAutospacing="0" w:line="360" w:lineRule="exact"/>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b/>
                <w:color w:val="auto"/>
                <w:kern w:val="2"/>
                <w:sz w:val="24"/>
                <w:szCs w:val="24"/>
              </w:rPr>
              <w:t>权重</w:t>
            </w:r>
          </w:p>
        </w:tc>
        <w:tc>
          <w:tcPr>
            <w:tcW w:w="7021" w:type="dxa"/>
            <w:noWrap w:val="0"/>
            <w:vAlign w:val="center"/>
          </w:tcPr>
          <w:p w14:paraId="5252F679">
            <w:pPr>
              <w:pStyle w:val="26"/>
              <w:widowControl w:val="0"/>
              <w:spacing w:before="0" w:beforeAutospacing="0" w:after="0" w:afterAutospacing="0" w:line="360" w:lineRule="exact"/>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b/>
                <w:color w:val="auto"/>
                <w:kern w:val="2"/>
                <w:sz w:val="24"/>
                <w:szCs w:val="24"/>
              </w:rPr>
              <w:t>评价方法</w:t>
            </w:r>
          </w:p>
        </w:tc>
      </w:tr>
      <w:tr w14:paraId="62CC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7331BA76">
            <w:pPr>
              <w:pStyle w:val="26"/>
              <w:widowControl w:val="0"/>
              <w:spacing w:before="0" w:beforeAutospacing="0" w:after="0" w:afterAutospacing="0" w:line="360" w:lineRule="exact"/>
              <w:jc w:val="center"/>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一</w:t>
            </w:r>
          </w:p>
        </w:tc>
        <w:tc>
          <w:tcPr>
            <w:tcW w:w="1183" w:type="dxa"/>
            <w:noWrap w:val="0"/>
            <w:vAlign w:val="center"/>
          </w:tcPr>
          <w:p w14:paraId="7587B8C9">
            <w:pPr>
              <w:pStyle w:val="26"/>
              <w:widowControl w:val="0"/>
              <w:spacing w:before="0" w:beforeAutospacing="0" w:after="0" w:afterAutospacing="0" w:line="360" w:lineRule="exact"/>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A报价部分评分</w:t>
            </w:r>
          </w:p>
        </w:tc>
        <w:tc>
          <w:tcPr>
            <w:tcW w:w="720" w:type="dxa"/>
            <w:noWrap w:val="0"/>
            <w:vAlign w:val="center"/>
          </w:tcPr>
          <w:p w14:paraId="65F2E01E">
            <w:pPr>
              <w:pStyle w:val="26"/>
              <w:widowControl w:val="0"/>
              <w:spacing w:before="0" w:beforeAutospacing="0" w:after="0" w:afterAutospacing="0" w:line="360" w:lineRule="exact"/>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20</w:t>
            </w:r>
            <w:r>
              <w:rPr>
                <w:rFonts w:hint="eastAsia" w:asciiTheme="minorEastAsia" w:hAnsiTheme="minorEastAsia" w:eastAsiaTheme="minorEastAsia" w:cstheme="minorEastAsia"/>
                <w:color w:val="auto"/>
                <w:kern w:val="2"/>
                <w:sz w:val="24"/>
                <w:szCs w:val="24"/>
                <w:highlight w:val="none"/>
              </w:rPr>
              <w:t>分</w:t>
            </w:r>
          </w:p>
        </w:tc>
        <w:tc>
          <w:tcPr>
            <w:tcW w:w="7021" w:type="dxa"/>
            <w:noWrap w:val="0"/>
            <w:vAlign w:val="center"/>
          </w:tcPr>
          <w:p w14:paraId="726850F8">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按采购包对各供应商的报价</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1-下浮率</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进行数字校核，称为报价评审价。</w:t>
            </w:r>
          </w:p>
          <w:p w14:paraId="10907D59">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各供应商的价格得分按以下方式得出</w:t>
            </w:r>
          </w:p>
          <w:p w14:paraId="78CCDBAC">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A=(H/Hn)×Q×100</w:t>
            </w:r>
          </w:p>
          <w:p w14:paraId="0C72DE7A">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A：供应商报价得分</w:t>
            </w:r>
          </w:p>
          <w:p w14:paraId="157FDFE6">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Hn：各供应商报价</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1-下浮率</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即报价评审价</w:t>
            </w:r>
          </w:p>
          <w:p w14:paraId="4D869638">
            <w:pPr>
              <w:tabs>
                <w:tab w:val="center" w:pos="4513"/>
              </w:tabs>
              <w:spacing w:line="360" w:lineRule="exact"/>
              <w:jc w:val="lef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sz w:val="24"/>
                <w:szCs w:val="24"/>
                <w:highlight w:val="none"/>
              </w:rPr>
              <w:t>H：评标基准价即满足磋商文件要求的最低报价</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1-下浮率）</w:t>
            </w:r>
          </w:p>
          <w:p w14:paraId="2D325CBE">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Q：价格权值：Q=</w:t>
            </w:r>
            <w:r>
              <w:rPr>
                <w:rFonts w:hint="eastAsia" w:asciiTheme="minorEastAsia" w:hAnsiTheme="minorEastAsia" w:eastAsiaTheme="minorEastAsia" w:cstheme="minorEastAsia"/>
                <w:sz w:val="24"/>
                <w:szCs w:val="24"/>
                <w:highlight w:val="none"/>
                <w:lang w:val="en-US" w:eastAsia="zh-CN"/>
              </w:rPr>
              <w:t>20</w:t>
            </w:r>
            <w:r>
              <w:rPr>
                <w:rFonts w:hint="eastAsia" w:asciiTheme="minorEastAsia" w:hAnsiTheme="minorEastAsia" w:eastAsiaTheme="minorEastAsia" w:cstheme="minorEastAsia"/>
                <w:sz w:val="24"/>
                <w:szCs w:val="24"/>
                <w:highlight w:val="none"/>
              </w:rPr>
              <w:t>%</w:t>
            </w:r>
          </w:p>
          <w:p w14:paraId="3E7EC024">
            <w:pPr>
              <w:tabs>
                <w:tab w:val="center" w:pos="4513"/>
              </w:tabs>
              <w:spacing w:line="36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计算分数时四舍五入取小数点后两位。</w:t>
            </w:r>
          </w:p>
        </w:tc>
      </w:tr>
      <w:tr w14:paraId="5D8E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noWrap w:val="0"/>
            <w:vAlign w:val="center"/>
          </w:tcPr>
          <w:p w14:paraId="6A5D7186">
            <w:pPr>
              <w:pStyle w:val="26"/>
              <w:widowControl w:val="0"/>
              <w:spacing w:before="0" w:beforeAutospacing="0" w:after="0" w:afterAutospacing="0" w:line="360" w:lineRule="exact"/>
              <w:jc w:val="center"/>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二</w:t>
            </w:r>
          </w:p>
        </w:tc>
        <w:tc>
          <w:tcPr>
            <w:tcW w:w="8924" w:type="dxa"/>
            <w:gridSpan w:val="3"/>
            <w:noWrap w:val="0"/>
            <w:vAlign w:val="center"/>
          </w:tcPr>
          <w:p w14:paraId="605E865F">
            <w:pPr>
              <w:pStyle w:val="26"/>
              <w:widowControl w:val="0"/>
              <w:spacing w:before="0" w:beforeAutospacing="0" w:after="0" w:afterAutospacing="0" w:line="360" w:lineRule="exact"/>
              <w:jc w:val="both"/>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技术部分评分B（B满分</w:t>
            </w:r>
            <w:r>
              <w:rPr>
                <w:rFonts w:hint="eastAsia" w:asciiTheme="minorEastAsia" w:hAnsiTheme="minorEastAsia" w:eastAsiaTheme="minorEastAsia" w:cstheme="minorEastAsia"/>
                <w:b/>
                <w:color w:val="auto"/>
                <w:kern w:val="2"/>
                <w:sz w:val="24"/>
                <w:szCs w:val="24"/>
                <w:highlight w:val="none"/>
                <w:lang w:val="en-US" w:eastAsia="zh-CN"/>
              </w:rPr>
              <w:t>74</w:t>
            </w:r>
            <w:r>
              <w:rPr>
                <w:rFonts w:hint="eastAsia" w:asciiTheme="minorEastAsia" w:hAnsiTheme="minorEastAsia" w:eastAsiaTheme="minorEastAsia" w:cstheme="minorEastAsia"/>
                <w:b/>
                <w:color w:val="auto"/>
                <w:kern w:val="2"/>
                <w:sz w:val="24"/>
                <w:szCs w:val="24"/>
                <w:highlight w:val="none"/>
              </w:rPr>
              <w:t>分）</w:t>
            </w:r>
          </w:p>
        </w:tc>
      </w:tr>
      <w:tr w14:paraId="22CE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4490B3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rPr>
              <w:t>B1</w:t>
            </w:r>
          </w:p>
        </w:tc>
        <w:tc>
          <w:tcPr>
            <w:tcW w:w="1183" w:type="dxa"/>
            <w:noWrap w:val="0"/>
            <w:vAlign w:val="center"/>
          </w:tcPr>
          <w:p w14:paraId="5979D7CB">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000000"/>
                <w:sz w:val="24"/>
                <w:szCs w:val="24"/>
                <w:highlight w:val="none"/>
              </w:rPr>
              <w:t>技术服务要求响应情况</w:t>
            </w:r>
          </w:p>
        </w:tc>
        <w:tc>
          <w:tcPr>
            <w:tcW w:w="720" w:type="dxa"/>
            <w:noWrap w:val="0"/>
            <w:vAlign w:val="center"/>
          </w:tcPr>
          <w:p w14:paraId="731AB00F">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45</w:t>
            </w:r>
          </w:p>
        </w:tc>
        <w:tc>
          <w:tcPr>
            <w:tcW w:w="7021" w:type="dxa"/>
            <w:noWrap w:val="0"/>
            <w:vAlign w:val="top"/>
          </w:tcPr>
          <w:p w14:paraId="24792503">
            <w:pPr>
              <w:pStyle w:val="48"/>
              <w:keepNext w:val="0"/>
              <w:keepLines/>
              <w:pageBreakBefore w:val="0"/>
              <w:widowControl/>
              <w:kinsoku/>
              <w:wordWrap w:val="0"/>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根据供应商针对</w:t>
            </w:r>
            <w:r>
              <w:rPr>
                <w:rFonts w:hint="eastAsia" w:asciiTheme="minorEastAsia" w:hAnsiTheme="minorEastAsia" w:eastAsiaTheme="minorEastAsia" w:cstheme="minorEastAsia"/>
                <w:color w:val="000000"/>
                <w:sz w:val="24"/>
                <w:szCs w:val="24"/>
                <w:highlight w:val="none"/>
                <w:lang w:eastAsia="zh-CN"/>
              </w:rPr>
              <w:t>竞争性</w:t>
            </w:r>
            <w:r>
              <w:rPr>
                <w:rFonts w:hint="eastAsia" w:asciiTheme="minorEastAsia" w:hAnsiTheme="minorEastAsia" w:eastAsiaTheme="minorEastAsia" w:cstheme="minorEastAsia"/>
                <w:color w:val="000000"/>
                <w:sz w:val="24"/>
                <w:szCs w:val="24"/>
                <w:highlight w:val="none"/>
              </w:rPr>
              <w:t>磋商文件“第三章 采购内容及要求”中“二、技术和服务要求”内容的响应情况，由</w:t>
            </w:r>
            <w:r>
              <w:rPr>
                <w:rFonts w:hint="eastAsia" w:asciiTheme="minorEastAsia" w:hAnsiTheme="minorEastAsia" w:eastAsiaTheme="minorEastAsia" w:cstheme="minorEastAsia"/>
                <w:color w:val="000000"/>
                <w:sz w:val="24"/>
                <w:szCs w:val="24"/>
                <w:highlight w:val="none"/>
                <w:lang w:eastAsia="zh-CN"/>
              </w:rPr>
              <w:t>磋商小组</w:t>
            </w:r>
            <w:r>
              <w:rPr>
                <w:rFonts w:hint="eastAsia" w:asciiTheme="minorEastAsia" w:hAnsiTheme="minorEastAsia" w:eastAsiaTheme="minorEastAsia" w:cstheme="minorEastAsia"/>
                <w:color w:val="000000"/>
                <w:sz w:val="24"/>
                <w:szCs w:val="24"/>
                <w:highlight w:val="none"/>
              </w:rPr>
              <w:t>进行</w:t>
            </w:r>
            <w:r>
              <w:rPr>
                <w:rFonts w:hint="eastAsia" w:asciiTheme="minorEastAsia" w:hAnsiTheme="minorEastAsia" w:eastAsiaTheme="minorEastAsia" w:cstheme="minorEastAsia"/>
                <w:color w:val="000000"/>
                <w:sz w:val="24"/>
                <w:szCs w:val="24"/>
                <w:highlight w:val="none"/>
                <w:lang w:eastAsia="zh-CN"/>
              </w:rPr>
              <w:t>评分</w:t>
            </w:r>
            <w:r>
              <w:rPr>
                <w:rFonts w:hint="eastAsia" w:asciiTheme="minorEastAsia" w:hAnsiTheme="minorEastAsia" w:eastAsiaTheme="minorEastAsia" w:cstheme="minorEastAsia"/>
                <w:color w:val="000000"/>
                <w:sz w:val="24"/>
                <w:szCs w:val="24"/>
                <w:highlight w:val="none"/>
              </w:rPr>
              <w:t>，完全</w:t>
            </w:r>
            <w:r>
              <w:rPr>
                <w:rFonts w:hint="eastAsia" w:asciiTheme="minorEastAsia" w:hAnsiTheme="minorEastAsia" w:eastAsiaTheme="minorEastAsia" w:cstheme="minorEastAsia"/>
                <w:color w:val="000000"/>
                <w:sz w:val="24"/>
                <w:szCs w:val="24"/>
                <w:highlight w:val="none"/>
                <w:lang w:eastAsia="zh-CN"/>
              </w:rPr>
              <w:t>满足竞争性磋商文件要求的</w:t>
            </w:r>
            <w:r>
              <w:rPr>
                <w:rFonts w:hint="eastAsia" w:asciiTheme="minorEastAsia" w:hAnsiTheme="minorEastAsia" w:eastAsiaTheme="minorEastAsia" w:cstheme="minorEastAsia"/>
                <w:color w:val="000000"/>
                <w:sz w:val="24"/>
                <w:szCs w:val="24"/>
                <w:highlight w:val="none"/>
              </w:rPr>
              <w:t>得</w:t>
            </w:r>
            <w:r>
              <w:rPr>
                <w:rFonts w:hint="eastAsia" w:asciiTheme="minorEastAsia" w:hAnsiTheme="minorEastAsia" w:eastAsiaTheme="minorEastAsia" w:cstheme="minorEastAsia"/>
                <w:color w:val="000000"/>
                <w:sz w:val="24"/>
                <w:szCs w:val="24"/>
                <w:highlight w:val="none"/>
                <w:lang w:val="en-US" w:eastAsia="zh-CN"/>
              </w:rPr>
              <w:t>45</w:t>
            </w:r>
            <w:r>
              <w:rPr>
                <w:rFonts w:hint="eastAsia" w:asciiTheme="minorEastAsia" w:hAnsiTheme="minorEastAsia" w:eastAsiaTheme="minorEastAsia" w:cstheme="minorEastAsia"/>
                <w:color w:val="000000"/>
                <w:sz w:val="24"/>
                <w:szCs w:val="24"/>
                <w:highlight w:val="none"/>
              </w:rPr>
              <w:t>分。①标注“★”号的条款为不允许负偏离的实质性要求，若有任何不满足（负偏离）则按无效</w:t>
            </w:r>
            <w:r>
              <w:rPr>
                <w:rFonts w:hint="eastAsia" w:asciiTheme="minorEastAsia" w:hAnsiTheme="minorEastAsia" w:eastAsiaTheme="minorEastAsia" w:cstheme="minorEastAsia"/>
                <w:color w:val="000000"/>
                <w:sz w:val="24"/>
                <w:szCs w:val="24"/>
                <w:highlight w:val="none"/>
                <w:lang w:eastAsia="zh-CN"/>
              </w:rPr>
              <w:t>报价</w:t>
            </w:r>
            <w:r>
              <w:rPr>
                <w:rFonts w:hint="eastAsia" w:asciiTheme="minorEastAsia" w:hAnsiTheme="minorEastAsia" w:eastAsiaTheme="minorEastAsia" w:cstheme="minorEastAsia"/>
                <w:color w:val="000000"/>
                <w:sz w:val="24"/>
                <w:szCs w:val="24"/>
                <w:highlight w:val="none"/>
              </w:rPr>
              <w:t>处理；</w:t>
            </w:r>
            <w:r>
              <w:rPr>
                <w:rFonts w:hint="eastAsia" w:asciiTheme="minorEastAsia" w:hAnsiTheme="minorEastAsia" w:eastAsiaTheme="minorEastAsia" w:cstheme="minorEastAsia"/>
                <w:color w:val="000000"/>
                <w:sz w:val="24"/>
                <w:szCs w:val="24"/>
                <w:highlight w:val="none"/>
                <w:lang w:eastAsia="zh-CN"/>
              </w:rPr>
              <w:t>②未标注“★”号的条款，</w:t>
            </w:r>
            <w:r>
              <w:rPr>
                <w:rFonts w:hint="eastAsia" w:asciiTheme="minorEastAsia" w:hAnsiTheme="minorEastAsia" w:eastAsiaTheme="minorEastAsia" w:cstheme="minorEastAsia"/>
                <w:color w:val="000000"/>
                <w:sz w:val="24"/>
                <w:szCs w:val="24"/>
                <w:highlight w:val="none"/>
                <w:lang w:eastAsia="zh-CN" w:bidi="ar"/>
              </w:rPr>
              <w:t>技术和服务要求每负偏离一项扣</w:t>
            </w:r>
            <w:r>
              <w:rPr>
                <w:rFonts w:hint="eastAsia" w:asciiTheme="minorEastAsia" w:hAnsiTheme="minorEastAsia" w:eastAsiaTheme="minorEastAsia" w:cstheme="minorEastAsia"/>
                <w:color w:val="000000"/>
                <w:sz w:val="24"/>
                <w:szCs w:val="24"/>
                <w:highlight w:val="none"/>
                <w:lang w:val="en-US" w:eastAsia="zh-CN" w:bidi="ar"/>
              </w:rPr>
              <w:t>2.5</w:t>
            </w:r>
            <w:r>
              <w:rPr>
                <w:rFonts w:hint="eastAsia" w:asciiTheme="minorEastAsia" w:hAnsiTheme="minorEastAsia" w:eastAsiaTheme="minorEastAsia" w:cstheme="minorEastAsia"/>
                <w:color w:val="000000"/>
                <w:sz w:val="24"/>
                <w:szCs w:val="24"/>
                <w:highlight w:val="none"/>
                <w:lang w:eastAsia="zh-CN" w:bidi="ar"/>
              </w:rPr>
              <w:t>分（</w:t>
            </w:r>
            <w:r>
              <w:rPr>
                <w:rFonts w:hint="eastAsia" w:asciiTheme="minorEastAsia" w:hAnsiTheme="minorEastAsia" w:eastAsiaTheme="minorEastAsia" w:cstheme="minorEastAsia"/>
                <w:color w:val="000000"/>
                <w:sz w:val="24"/>
                <w:szCs w:val="24"/>
                <w:highlight w:val="none"/>
              </w:rPr>
              <w:t>按项号计算，共计18项</w:t>
            </w:r>
            <w:r>
              <w:rPr>
                <w:rFonts w:hint="eastAsia" w:asciiTheme="minorEastAsia" w:hAnsiTheme="minorEastAsia" w:eastAsiaTheme="minorEastAsia" w:cstheme="minorEastAsia"/>
                <w:color w:val="000000"/>
                <w:sz w:val="24"/>
                <w:szCs w:val="24"/>
                <w:highlight w:val="none"/>
                <w:lang w:eastAsia="zh-CN" w:bidi="ar"/>
              </w:rPr>
              <w:t>，合计</w:t>
            </w:r>
            <w:r>
              <w:rPr>
                <w:rFonts w:hint="eastAsia" w:asciiTheme="minorEastAsia" w:hAnsiTheme="minorEastAsia" w:eastAsiaTheme="minorEastAsia" w:cstheme="minorEastAsia"/>
                <w:color w:val="000000"/>
                <w:sz w:val="24"/>
                <w:szCs w:val="24"/>
                <w:highlight w:val="none"/>
                <w:lang w:val="en-US" w:eastAsia="zh-CN" w:bidi="ar"/>
              </w:rPr>
              <w:t>45</w:t>
            </w:r>
            <w:r>
              <w:rPr>
                <w:rFonts w:hint="eastAsia" w:asciiTheme="minorEastAsia" w:hAnsiTheme="minorEastAsia" w:eastAsiaTheme="minorEastAsia" w:cstheme="minorEastAsia"/>
                <w:color w:val="000000"/>
                <w:sz w:val="24"/>
                <w:szCs w:val="24"/>
                <w:highlight w:val="none"/>
                <w:lang w:eastAsia="zh-CN" w:bidi="ar"/>
              </w:rPr>
              <w:t>分），</w:t>
            </w:r>
            <w:r>
              <w:rPr>
                <w:rFonts w:hint="eastAsia" w:asciiTheme="minorEastAsia" w:hAnsiTheme="minorEastAsia" w:eastAsiaTheme="minorEastAsia" w:cstheme="minorEastAsia"/>
                <w:color w:val="000000"/>
                <w:sz w:val="24"/>
                <w:szCs w:val="24"/>
                <w:highlight w:val="none"/>
              </w:rPr>
              <w:t>扣完为止</w:t>
            </w:r>
            <w:r>
              <w:rPr>
                <w:rFonts w:hint="eastAsia" w:asciiTheme="minorEastAsia" w:hAnsiTheme="minorEastAsia" w:eastAsiaTheme="minorEastAsia" w:cstheme="minorEastAsia"/>
                <w:color w:val="000000"/>
                <w:sz w:val="24"/>
                <w:szCs w:val="24"/>
                <w:highlight w:val="none"/>
                <w:lang w:eastAsia="zh-CN"/>
              </w:rPr>
              <w:t>，正偏离不加分</w:t>
            </w:r>
            <w:r>
              <w:rPr>
                <w:rFonts w:hint="eastAsia" w:asciiTheme="minorEastAsia" w:hAnsiTheme="minorEastAsia" w:eastAsiaTheme="minorEastAsia" w:cstheme="minorEastAsia"/>
                <w:color w:val="000000"/>
                <w:sz w:val="24"/>
                <w:szCs w:val="24"/>
                <w:highlight w:val="none"/>
              </w:rPr>
              <w:t>。（评审指标项的项下的任一指标</w:t>
            </w:r>
            <w:r>
              <w:rPr>
                <w:rFonts w:hint="eastAsia" w:asciiTheme="minorEastAsia" w:hAnsiTheme="minorEastAsia" w:eastAsiaTheme="minorEastAsia" w:cstheme="minorEastAsia"/>
                <w:color w:val="000000"/>
                <w:sz w:val="24"/>
                <w:szCs w:val="24"/>
                <w:highlight w:val="none"/>
                <w:lang w:val="en-US" w:eastAsia="zh-CN"/>
              </w:rPr>
              <w:t>要求</w:t>
            </w:r>
            <w:r>
              <w:rPr>
                <w:rFonts w:hint="eastAsia" w:asciiTheme="minorEastAsia" w:hAnsiTheme="minorEastAsia" w:eastAsiaTheme="minorEastAsia" w:cstheme="minorEastAsia"/>
                <w:color w:val="000000"/>
                <w:sz w:val="24"/>
                <w:szCs w:val="24"/>
                <w:highlight w:val="none"/>
              </w:rPr>
              <w:t>有负偏离的，视为整项评审指标项负偏离并予以相应扣分。）</w:t>
            </w:r>
          </w:p>
        </w:tc>
      </w:tr>
      <w:tr w14:paraId="0E0A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4435A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B2</w:t>
            </w:r>
          </w:p>
        </w:tc>
        <w:tc>
          <w:tcPr>
            <w:tcW w:w="1183" w:type="dxa"/>
            <w:noWrap w:val="0"/>
            <w:vAlign w:val="center"/>
          </w:tcPr>
          <w:p w14:paraId="7B5A871E">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项目实施方案</w:t>
            </w:r>
          </w:p>
        </w:tc>
        <w:tc>
          <w:tcPr>
            <w:tcW w:w="720" w:type="dxa"/>
            <w:noWrap w:val="0"/>
            <w:vAlign w:val="center"/>
          </w:tcPr>
          <w:p w14:paraId="5881EB88">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3</w:t>
            </w:r>
          </w:p>
        </w:tc>
        <w:tc>
          <w:tcPr>
            <w:tcW w:w="7021" w:type="dxa"/>
            <w:noWrap w:val="0"/>
            <w:vAlign w:val="top"/>
          </w:tcPr>
          <w:p w14:paraId="4EDB5B76">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lang w:eastAsia="zh-CN"/>
              </w:rPr>
              <w:t>根据供应商针对本年度项目提供的项目实施方案（包括但不限于①施工技术与现场准备；②职责分工；③劳动力安排和资源配备）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w:t>
            </w:r>
            <w:r>
              <w:rPr>
                <w:rFonts w:hint="eastAsia" w:asciiTheme="minorEastAsia" w:hAnsiTheme="minorEastAsia" w:eastAsiaTheme="minorEastAsia" w:cstheme="minorEastAsia"/>
                <w:color w:val="auto"/>
                <w:sz w:val="24"/>
                <w:szCs w:val="24"/>
                <w:highlight w:val="none"/>
                <w:lang w:eastAsia="zh-CN"/>
              </w:rPr>
              <w:t>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7F95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5EAB85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B3</w:t>
            </w:r>
          </w:p>
        </w:tc>
        <w:tc>
          <w:tcPr>
            <w:tcW w:w="1183" w:type="dxa"/>
            <w:noWrap w:val="0"/>
            <w:vAlign w:val="center"/>
          </w:tcPr>
          <w:p w14:paraId="43FC3A88">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工程质量控制方案</w:t>
            </w:r>
          </w:p>
        </w:tc>
        <w:tc>
          <w:tcPr>
            <w:tcW w:w="720" w:type="dxa"/>
            <w:noWrap w:val="0"/>
            <w:vAlign w:val="center"/>
          </w:tcPr>
          <w:p w14:paraId="0FB2B9A9">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7021" w:type="dxa"/>
            <w:noWrap w:val="0"/>
            <w:vAlign w:val="top"/>
          </w:tcPr>
          <w:p w14:paraId="3C22448C">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根据供应商针对本年度项目提供的工程质量控制方案（包括但不限于①质量和安全目标、②如何保证工程质量、③控制措施）由磋商小组进行综合评分：针对上述三个要点制定方案，方案包含的要点齐全无缺漏项、内容与要点相符、每个要点均有展开详细的阐述且能够适用于本项目得3分；方案所包含的要点齐全、内容与要点</w:t>
            </w:r>
            <w:r>
              <w:rPr>
                <w:rFonts w:hint="eastAsia" w:asciiTheme="minorEastAsia" w:hAnsiTheme="minorEastAsia" w:eastAsiaTheme="minorEastAsia" w:cstheme="minorEastAsia"/>
                <w:color w:val="auto"/>
                <w:sz w:val="24"/>
                <w:szCs w:val="24"/>
                <w:highlight w:val="none"/>
                <w:lang w:eastAsia="zh-CN"/>
              </w:rPr>
              <w:t>相符、每个要点均有展开阐述（没有特别具体）但基本能够适用于本项目的得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0780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50DE50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B</w:t>
            </w:r>
            <w:r>
              <w:rPr>
                <w:rFonts w:hint="eastAsia" w:asciiTheme="minorEastAsia" w:hAnsiTheme="minorEastAsia" w:eastAsiaTheme="minorEastAsia" w:cstheme="minorEastAsia"/>
                <w:color w:val="auto"/>
                <w:sz w:val="24"/>
                <w:szCs w:val="24"/>
                <w:lang w:val="en-US" w:eastAsia="zh-CN"/>
              </w:rPr>
              <w:t>4</w:t>
            </w:r>
          </w:p>
        </w:tc>
        <w:tc>
          <w:tcPr>
            <w:tcW w:w="1183" w:type="dxa"/>
            <w:noWrap w:val="0"/>
            <w:vAlign w:val="center"/>
          </w:tcPr>
          <w:p w14:paraId="4ABD10E3">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应急处置措施方案</w:t>
            </w:r>
          </w:p>
        </w:tc>
        <w:tc>
          <w:tcPr>
            <w:tcW w:w="720" w:type="dxa"/>
            <w:noWrap w:val="0"/>
            <w:vAlign w:val="center"/>
          </w:tcPr>
          <w:p w14:paraId="3E5653FD">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7021" w:type="dxa"/>
            <w:noWrap w:val="0"/>
            <w:vAlign w:val="top"/>
          </w:tcPr>
          <w:p w14:paraId="11D59925">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根据供应商针对本年度项目提供的应急处置措施方案【包括但不限于①应急预案(至少包含停水、停电，火灾，台风灾害等情况)；②应急培训；③抵抗风险的措施】由磋商小组进行综合评分：针对上述三个要点制定方案，方案包含的要点齐全无缺漏项、内容与要点相符、每个要点均有展开详细的阐述且能够适用于本项目得3分；方案所包含的要点齐全、内容与要点相符、每个要点</w:t>
            </w:r>
            <w:r>
              <w:rPr>
                <w:rFonts w:hint="eastAsia" w:asciiTheme="minorEastAsia" w:hAnsiTheme="minorEastAsia" w:eastAsiaTheme="minorEastAsia" w:cstheme="minorEastAsia"/>
                <w:color w:val="auto"/>
                <w:sz w:val="24"/>
                <w:szCs w:val="24"/>
                <w:highlight w:val="none"/>
                <w:lang w:eastAsia="zh-CN"/>
              </w:rPr>
              <w:t>均有展开阐述（没有特别具体）但基本能够适用于本项目的得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6AA9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386D77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B</w:t>
            </w:r>
            <w:r>
              <w:rPr>
                <w:rFonts w:hint="eastAsia" w:asciiTheme="minorEastAsia" w:hAnsiTheme="minorEastAsia" w:eastAsiaTheme="minorEastAsia" w:cstheme="minorEastAsia"/>
                <w:color w:val="auto"/>
                <w:sz w:val="24"/>
                <w:szCs w:val="24"/>
                <w:lang w:val="en-US" w:eastAsia="zh-CN"/>
              </w:rPr>
              <w:t>5</w:t>
            </w:r>
          </w:p>
        </w:tc>
        <w:tc>
          <w:tcPr>
            <w:tcW w:w="1183" w:type="dxa"/>
            <w:noWrap w:val="0"/>
            <w:vAlign w:val="center"/>
          </w:tcPr>
          <w:p w14:paraId="715C6E02">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eastAsia="zh-CN"/>
              </w:rPr>
              <w:t>农民工工资发放的保障措施方案</w:t>
            </w:r>
          </w:p>
        </w:tc>
        <w:tc>
          <w:tcPr>
            <w:tcW w:w="720" w:type="dxa"/>
            <w:noWrap w:val="0"/>
            <w:vAlign w:val="center"/>
          </w:tcPr>
          <w:p w14:paraId="2A7D8CA6">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7021" w:type="dxa"/>
            <w:noWrap w:val="0"/>
            <w:vAlign w:val="top"/>
          </w:tcPr>
          <w:p w14:paraId="4CCA3821">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根据供应商针对本年度项目提供的农民工工资发放的保障措施方案（包括但不限于①农民工工资发放体系与保障措施；②农民工工资应急处理预案；③不拖欠农民工工资的承诺等）由磋商小组进行综合评分：针对上述三个要点制定方案，方案包含的要点齐全无缺漏项、内容与要点相符、每个要点均有展开详细的阐述且能够适用于本项目得3分；方案所包含的要点齐全、内容与要</w:t>
            </w:r>
            <w:r>
              <w:rPr>
                <w:rFonts w:hint="eastAsia" w:asciiTheme="minorEastAsia" w:hAnsiTheme="minorEastAsia" w:eastAsiaTheme="minorEastAsia" w:cstheme="minorEastAsia"/>
                <w:color w:val="auto"/>
                <w:sz w:val="24"/>
                <w:szCs w:val="24"/>
                <w:highlight w:val="none"/>
                <w:lang w:eastAsia="zh-CN"/>
              </w:rPr>
              <w:t>点相符、每个要点均有展开阐述（没有特别具体）但基本能够适用于本项目的得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07ED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68B01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B</w:t>
            </w:r>
            <w:r>
              <w:rPr>
                <w:rFonts w:hint="eastAsia" w:asciiTheme="minorEastAsia" w:hAnsiTheme="minorEastAsia" w:eastAsiaTheme="minorEastAsia" w:cstheme="minorEastAsia"/>
                <w:color w:val="auto"/>
                <w:sz w:val="24"/>
                <w:szCs w:val="24"/>
                <w:lang w:val="en-US" w:eastAsia="zh-CN"/>
              </w:rPr>
              <w:t>6</w:t>
            </w:r>
          </w:p>
        </w:tc>
        <w:tc>
          <w:tcPr>
            <w:tcW w:w="1183" w:type="dxa"/>
            <w:noWrap w:val="0"/>
            <w:vAlign w:val="center"/>
          </w:tcPr>
          <w:p w14:paraId="1246130D">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文明施工方案</w:t>
            </w:r>
          </w:p>
        </w:tc>
        <w:tc>
          <w:tcPr>
            <w:tcW w:w="720" w:type="dxa"/>
            <w:noWrap w:val="0"/>
            <w:vAlign w:val="center"/>
          </w:tcPr>
          <w:p w14:paraId="03C6F06D">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7021" w:type="dxa"/>
            <w:noWrap w:val="0"/>
            <w:vAlign w:val="top"/>
          </w:tcPr>
          <w:p w14:paraId="1F1821E2">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根据供应商针对本年度项目提供的文明施工方案（包括但不限于①措施内容；②措施方式；③组织形式）由磋商小组进行综合评分：针对上述三个要点制定方案，措施方案包含的要点齐全无缺漏项、内容与要点相符、每个要点均有展开详细的阐述且能够适用于本项目得3分；措施方案所包含的要点齐全、内容与要点相符、每个要点均有展开阐述（没有特别具体）但基本能够适用于本项目的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分；措施方案所包含的要点有缺漏、内容与要点相符但仅有纲要、内容简略，未展开详细阐述但基本能够适用于本项目的得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29FD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2DEFC1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B</w:t>
            </w:r>
            <w:r>
              <w:rPr>
                <w:rFonts w:hint="eastAsia" w:asciiTheme="minorEastAsia" w:hAnsiTheme="minorEastAsia" w:eastAsiaTheme="minorEastAsia" w:cstheme="minorEastAsia"/>
                <w:color w:val="auto"/>
                <w:sz w:val="24"/>
                <w:szCs w:val="24"/>
                <w:highlight w:val="none"/>
                <w:lang w:val="en-US" w:eastAsia="zh-CN"/>
              </w:rPr>
              <w:t>7</w:t>
            </w:r>
          </w:p>
        </w:tc>
        <w:tc>
          <w:tcPr>
            <w:tcW w:w="1183" w:type="dxa"/>
            <w:noWrap w:val="0"/>
            <w:vAlign w:val="center"/>
          </w:tcPr>
          <w:p w14:paraId="70C4CD26">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施工安全管理方案</w:t>
            </w:r>
          </w:p>
        </w:tc>
        <w:tc>
          <w:tcPr>
            <w:tcW w:w="720" w:type="dxa"/>
            <w:noWrap w:val="0"/>
            <w:vAlign w:val="center"/>
          </w:tcPr>
          <w:p w14:paraId="07082981">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7021" w:type="dxa"/>
            <w:noWrap w:val="0"/>
            <w:vAlign w:val="top"/>
          </w:tcPr>
          <w:p w14:paraId="6917849B">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根据供应商针对本项目提供的施工安全管理方案（包括但不限于</w:t>
            </w:r>
            <w:r>
              <w:rPr>
                <w:rFonts w:hint="eastAsia" w:asciiTheme="minorEastAsia" w:hAnsiTheme="minorEastAsia" w:eastAsiaTheme="minorEastAsia" w:cstheme="minorEastAsia"/>
                <w:color w:val="auto"/>
                <w:sz w:val="24"/>
                <w:szCs w:val="24"/>
                <w:highlight w:val="none"/>
                <w:lang w:eastAsia="zh-CN"/>
              </w:rPr>
              <w:t>①</w:t>
            </w:r>
            <w:r>
              <w:rPr>
                <w:rFonts w:hint="eastAsia" w:asciiTheme="minorEastAsia" w:hAnsiTheme="minorEastAsia" w:eastAsiaTheme="minorEastAsia" w:cstheme="minorEastAsia"/>
                <w:color w:val="auto"/>
                <w:sz w:val="24"/>
                <w:szCs w:val="24"/>
                <w:highlight w:val="none"/>
                <w:lang w:val="en-US" w:eastAsia="zh-CN"/>
              </w:rPr>
              <w:t>安全技术措施；</w:t>
            </w:r>
            <w:r>
              <w:rPr>
                <w:rFonts w:hint="eastAsia" w:asciiTheme="minorEastAsia" w:hAnsiTheme="minorEastAsia" w:eastAsiaTheme="minorEastAsia" w:cstheme="minorEastAsia"/>
                <w:color w:val="auto"/>
                <w:sz w:val="24"/>
                <w:szCs w:val="24"/>
                <w:highlight w:val="none"/>
                <w:lang w:eastAsia="zh-CN"/>
              </w:rPr>
              <w:t>②</w:t>
            </w:r>
            <w:r>
              <w:rPr>
                <w:rFonts w:hint="eastAsia" w:asciiTheme="minorEastAsia" w:hAnsiTheme="minorEastAsia" w:eastAsiaTheme="minorEastAsia" w:cstheme="minorEastAsia"/>
                <w:color w:val="auto"/>
                <w:sz w:val="24"/>
                <w:szCs w:val="24"/>
                <w:highlight w:val="none"/>
                <w:lang w:val="en-US" w:eastAsia="zh-CN"/>
              </w:rPr>
              <w:t>建立安全生产责任制度；</w:t>
            </w:r>
            <w:r>
              <w:rPr>
                <w:rFonts w:hint="eastAsia" w:asciiTheme="minorEastAsia" w:hAnsiTheme="minorEastAsia" w:eastAsiaTheme="minorEastAsia" w:cstheme="minorEastAsia"/>
                <w:color w:val="auto"/>
                <w:sz w:val="24"/>
                <w:szCs w:val="24"/>
                <w:highlight w:val="none"/>
                <w:lang w:eastAsia="zh-CN"/>
              </w:rPr>
              <w:t>③</w:t>
            </w:r>
            <w:r>
              <w:rPr>
                <w:rFonts w:hint="eastAsia" w:asciiTheme="minorEastAsia" w:hAnsiTheme="minorEastAsia" w:eastAsiaTheme="minorEastAsia" w:cstheme="minorEastAsia"/>
                <w:color w:val="auto"/>
                <w:sz w:val="24"/>
                <w:szCs w:val="24"/>
                <w:highlight w:val="none"/>
                <w:lang w:val="en-US" w:eastAsia="zh-CN"/>
              </w:rPr>
              <w:t>安全生产教育培训制度及施工现场安全防护措施等），</w:t>
            </w:r>
            <w:r>
              <w:rPr>
                <w:rFonts w:hint="eastAsia" w:asciiTheme="minorEastAsia" w:hAnsiTheme="minorEastAsia" w:eastAsiaTheme="minorEastAsia" w:cstheme="minorEastAsia"/>
                <w:color w:val="auto"/>
                <w:sz w:val="24"/>
                <w:szCs w:val="24"/>
                <w:highlight w:val="none"/>
                <w:lang w:eastAsia="zh-CN"/>
              </w:rPr>
              <w:t>由磋商小组进行综合评分：针对上述三个要点制定方案，措施方案包含的要点齐全无缺漏项、内容与要点相符、每个要点均有展开详细的阐述且能够适用于本项目得3分；措施方案所包含的要点齐全、内容与要点相符、每个要点均有展开阐述（没有特别具体）但基本能够适用于本项目的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分；措施方案所包含的要点有缺漏、内容与要点相符但仅有纲要、内容简略，未展开详细阐述但基本能够适用于本项目的得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45D8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305E3D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B</w:t>
            </w:r>
            <w:r>
              <w:rPr>
                <w:rFonts w:hint="eastAsia" w:asciiTheme="minorEastAsia" w:hAnsiTheme="minorEastAsia" w:eastAsiaTheme="minorEastAsia" w:cstheme="minorEastAsia"/>
                <w:color w:val="auto"/>
                <w:sz w:val="24"/>
                <w:szCs w:val="24"/>
                <w:highlight w:val="none"/>
                <w:lang w:val="en-US" w:eastAsia="zh-CN"/>
              </w:rPr>
              <w:t>8</w:t>
            </w:r>
          </w:p>
        </w:tc>
        <w:tc>
          <w:tcPr>
            <w:tcW w:w="1183" w:type="dxa"/>
            <w:noWrap w:val="0"/>
            <w:vAlign w:val="center"/>
          </w:tcPr>
          <w:p w14:paraId="1A6A0C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主材配置保障方案</w:t>
            </w:r>
          </w:p>
        </w:tc>
        <w:tc>
          <w:tcPr>
            <w:tcW w:w="720" w:type="dxa"/>
            <w:noWrap w:val="0"/>
            <w:vAlign w:val="center"/>
          </w:tcPr>
          <w:p w14:paraId="322ADE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7021" w:type="dxa"/>
            <w:noWrap w:val="0"/>
            <w:vAlign w:val="top"/>
          </w:tcPr>
          <w:p w14:paraId="49360B25">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根据供应商针对本年度项目工程拟投入的主材配置保障方案情况（包含但不限于①产品质量保障方案、②产品供货保障方案等）由磋商小组进行综合评分：针对上述两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lang w:eastAsia="zh-CN"/>
              </w:rPr>
              <w:t>分；方案所包含的要点有缺漏、内容与要点相符但仅有纲要、内容简略，未展开详细阐述但基本能够适用于本项目的得</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lang w:eastAsia="zh-CN"/>
              </w:rPr>
              <w:t>分；未提供</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不得分。</w:t>
            </w:r>
          </w:p>
        </w:tc>
      </w:tr>
      <w:tr w14:paraId="3329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323054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B</w:t>
            </w:r>
            <w:r>
              <w:rPr>
                <w:rFonts w:hint="eastAsia" w:asciiTheme="minorEastAsia" w:hAnsiTheme="minorEastAsia" w:eastAsiaTheme="minorEastAsia" w:cstheme="minorEastAsia"/>
                <w:color w:val="auto"/>
                <w:sz w:val="24"/>
                <w:szCs w:val="24"/>
                <w:lang w:val="en-US" w:eastAsia="zh-CN"/>
              </w:rPr>
              <w:t>9</w:t>
            </w:r>
          </w:p>
        </w:tc>
        <w:tc>
          <w:tcPr>
            <w:tcW w:w="1183" w:type="dxa"/>
            <w:noWrap w:val="0"/>
            <w:vAlign w:val="center"/>
          </w:tcPr>
          <w:p w14:paraId="6BCC34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人员配置情况1</w:t>
            </w:r>
          </w:p>
        </w:tc>
        <w:tc>
          <w:tcPr>
            <w:tcW w:w="720" w:type="dxa"/>
            <w:noWrap w:val="0"/>
            <w:vAlign w:val="center"/>
          </w:tcPr>
          <w:p w14:paraId="3F75C4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7021" w:type="dxa"/>
            <w:noWrap w:val="0"/>
            <w:vAlign w:val="top"/>
          </w:tcPr>
          <w:p w14:paraId="6D6C782A">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根据供应商拟派的施工团队中具有中级及以上工程师情况（项目负责人及项目技术负责人除外）进行评分：每提供一名的得1分，满分3分。供应商需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所有材料缺一不可，否则不得分。</w:t>
            </w:r>
          </w:p>
        </w:tc>
      </w:tr>
      <w:tr w14:paraId="1A98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660BE1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B</w:t>
            </w:r>
            <w:r>
              <w:rPr>
                <w:rFonts w:hint="eastAsia" w:asciiTheme="minorEastAsia" w:hAnsiTheme="minorEastAsia" w:eastAsiaTheme="minorEastAsia" w:cstheme="minorEastAsia"/>
                <w:color w:val="auto"/>
                <w:sz w:val="24"/>
                <w:szCs w:val="24"/>
                <w:highlight w:val="none"/>
                <w:lang w:val="en-US" w:eastAsia="zh-CN"/>
              </w:rPr>
              <w:t>10</w:t>
            </w:r>
          </w:p>
        </w:tc>
        <w:tc>
          <w:tcPr>
            <w:tcW w:w="1183" w:type="dxa"/>
            <w:noWrap w:val="0"/>
            <w:vAlign w:val="center"/>
          </w:tcPr>
          <w:p w14:paraId="2EBB1EE5">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人员配置情况2</w:t>
            </w:r>
          </w:p>
        </w:tc>
        <w:tc>
          <w:tcPr>
            <w:tcW w:w="720" w:type="dxa"/>
            <w:noWrap w:val="0"/>
            <w:vAlign w:val="center"/>
          </w:tcPr>
          <w:p w14:paraId="1F44B9FC">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w:t>
            </w:r>
          </w:p>
        </w:tc>
        <w:tc>
          <w:tcPr>
            <w:tcW w:w="7021" w:type="dxa"/>
            <w:noWrap w:val="0"/>
            <w:vAlign w:val="top"/>
          </w:tcPr>
          <w:p w14:paraId="1E677404">
            <w:pPr>
              <w:pStyle w:val="48"/>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left"/>
              <w:textAlignment w:val="auto"/>
              <w:rPr>
                <w:rFonts w:hint="eastAsia" w:asciiTheme="minorEastAsia" w:hAnsiTheme="minorEastAsia" w:eastAsiaTheme="minorEastAsia" w:cstheme="minorEastAsia"/>
                <w:color w:val="auto"/>
                <w:sz w:val="24"/>
                <w:szCs w:val="24"/>
                <w:highlight w:val="none"/>
                <w:lang w:val="en-US" w:eastAsia="zh-CN" w:bidi="ar-SA"/>
              </w:rPr>
            </w:pPr>
            <w:r>
              <w:rPr>
                <w:rFonts w:hint="eastAsia" w:asciiTheme="minorEastAsia" w:hAnsiTheme="minorEastAsia" w:eastAsiaTheme="minorEastAsia" w:cstheme="minorEastAsia"/>
                <w:color w:val="000000"/>
                <w:sz w:val="24"/>
                <w:szCs w:val="24"/>
                <w:highlight w:val="none"/>
                <w:lang w:eastAsia="zh-CN"/>
              </w:rPr>
              <w:t>根据供应商针对本项目拟投入项目负责人具备高级</w:t>
            </w:r>
            <w:r>
              <w:rPr>
                <w:rFonts w:hint="eastAsia" w:asciiTheme="minorEastAsia" w:hAnsiTheme="minorEastAsia" w:eastAsiaTheme="minorEastAsia" w:cstheme="minorEastAsia"/>
                <w:color w:val="000000"/>
                <w:sz w:val="24"/>
                <w:szCs w:val="24"/>
                <w:highlight w:val="none"/>
                <w:lang w:val="en-US" w:eastAsia="zh-CN"/>
              </w:rPr>
              <w:t>及以上</w:t>
            </w:r>
            <w:r>
              <w:rPr>
                <w:rFonts w:hint="eastAsia" w:asciiTheme="minorEastAsia" w:hAnsiTheme="minorEastAsia" w:eastAsiaTheme="minorEastAsia" w:cstheme="minorEastAsia"/>
                <w:color w:val="000000"/>
                <w:sz w:val="24"/>
                <w:szCs w:val="24"/>
                <w:highlight w:val="none"/>
                <w:lang w:eastAsia="zh-CN"/>
              </w:rPr>
              <w:t>工程师的得1分。注：供应商须提供证书复印件及提交响应文件截止时间前六个月（不含提交响应文件截止时间的当月）中任一月份由供应商单位为其缴纳的社会保险凭据复印件【若供应商为提交响应文件截止时间当月成立的可提供依法缴纳社会保障资金承诺书（格式自拟）】；未提供或提供不全的均不得分。注：项目负责人与技术负责人不得为同一人。</w:t>
            </w:r>
          </w:p>
        </w:tc>
      </w:tr>
      <w:tr w14:paraId="4459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37244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B</w:t>
            </w:r>
            <w:r>
              <w:rPr>
                <w:rFonts w:hint="eastAsia" w:asciiTheme="minorEastAsia" w:hAnsiTheme="minorEastAsia" w:eastAsiaTheme="minorEastAsia" w:cstheme="minorEastAsia"/>
                <w:color w:val="auto"/>
                <w:sz w:val="24"/>
                <w:szCs w:val="24"/>
                <w:highlight w:val="none"/>
                <w:lang w:val="en-US" w:eastAsia="zh-CN"/>
              </w:rPr>
              <w:t>11</w:t>
            </w:r>
          </w:p>
        </w:tc>
        <w:tc>
          <w:tcPr>
            <w:tcW w:w="1183" w:type="dxa"/>
            <w:noWrap w:val="0"/>
            <w:vAlign w:val="center"/>
          </w:tcPr>
          <w:p w14:paraId="7203EC26">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人员配置情况3</w:t>
            </w:r>
          </w:p>
        </w:tc>
        <w:tc>
          <w:tcPr>
            <w:tcW w:w="720" w:type="dxa"/>
            <w:noWrap w:val="0"/>
            <w:vAlign w:val="center"/>
          </w:tcPr>
          <w:p w14:paraId="5922A31B">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w:t>
            </w:r>
          </w:p>
        </w:tc>
        <w:tc>
          <w:tcPr>
            <w:tcW w:w="7021" w:type="dxa"/>
            <w:noWrap w:val="0"/>
            <w:vAlign w:val="top"/>
          </w:tcPr>
          <w:p w14:paraId="290753A7">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根据供应商针对本项目拟投入项目技术负责人具备①有效的不低于贰级建筑工程专业注册建造师执业资格②高级</w:t>
            </w:r>
            <w:r>
              <w:rPr>
                <w:rFonts w:hint="eastAsia" w:asciiTheme="minorEastAsia" w:hAnsiTheme="minorEastAsia" w:eastAsiaTheme="minorEastAsia" w:cstheme="minorEastAsia"/>
                <w:color w:val="000000"/>
                <w:sz w:val="24"/>
                <w:szCs w:val="24"/>
                <w:highlight w:val="none"/>
                <w:lang w:val="en-US" w:eastAsia="zh-CN"/>
              </w:rPr>
              <w:t>及以上</w:t>
            </w:r>
            <w:r>
              <w:rPr>
                <w:rFonts w:hint="eastAsia" w:asciiTheme="minorEastAsia" w:hAnsiTheme="minorEastAsia" w:eastAsiaTheme="minorEastAsia" w:cstheme="minorEastAsia"/>
                <w:color w:val="000000"/>
                <w:sz w:val="24"/>
                <w:szCs w:val="24"/>
                <w:highlight w:val="none"/>
                <w:lang w:eastAsia="zh-CN"/>
              </w:rPr>
              <w:t>工程师，每具有1项的得1分，满分2分。注：供应商须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的均不得分。 注：项目负责人与技术负责人不得为同一人。</w:t>
            </w:r>
          </w:p>
        </w:tc>
      </w:tr>
      <w:tr w14:paraId="2715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noWrap w:val="0"/>
            <w:vAlign w:val="center"/>
          </w:tcPr>
          <w:p w14:paraId="0CFA5D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w:t>
            </w:r>
            <w:r>
              <w:rPr>
                <w:rFonts w:hint="eastAsia" w:asciiTheme="minorEastAsia" w:hAnsiTheme="minorEastAsia" w:eastAsiaTheme="minorEastAsia" w:cstheme="minorEastAsia"/>
                <w:color w:val="auto"/>
                <w:sz w:val="24"/>
                <w:szCs w:val="24"/>
                <w:highlight w:val="none"/>
                <w:lang w:val="en-US" w:eastAsia="zh-CN"/>
              </w:rPr>
              <w:t>12</w:t>
            </w:r>
          </w:p>
        </w:tc>
        <w:tc>
          <w:tcPr>
            <w:tcW w:w="1183" w:type="dxa"/>
            <w:noWrap w:val="0"/>
            <w:vAlign w:val="center"/>
          </w:tcPr>
          <w:p w14:paraId="66ECACD4">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及时施工承诺书</w:t>
            </w:r>
          </w:p>
        </w:tc>
        <w:tc>
          <w:tcPr>
            <w:tcW w:w="720" w:type="dxa"/>
            <w:noWrap w:val="0"/>
            <w:vAlign w:val="center"/>
          </w:tcPr>
          <w:p w14:paraId="5753C3E6">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w:t>
            </w:r>
          </w:p>
        </w:tc>
        <w:tc>
          <w:tcPr>
            <w:tcW w:w="7021" w:type="dxa"/>
            <w:noWrap w:val="0"/>
            <w:vAlign w:val="top"/>
          </w:tcPr>
          <w:p w14:paraId="127AB890">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供应商承诺接到采购人施工通知后立即响应并与采购人联系，确保在1-2个工作日内开始施工的得</w:t>
            </w: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lang w:eastAsia="zh-CN"/>
              </w:rPr>
              <w:t>分。须提供承诺书（承诺：如供应商不能满足</w:t>
            </w:r>
            <w:r>
              <w:rPr>
                <w:rFonts w:hint="eastAsia" w:asciiTheme="minorEastAsia" w:hAnsiTheme="minorEastAsia" w:eastAsiaTheme="minorEastAsia" w:cstheme="minorEastAsia"/>
                <w:color w:val="000000"/>
                <w:sz w:val="24"/>
                <w:szCs w:val="24"/>
                <w:highlight w:val="none"/>
                <w:lang w:val="en-US" w:eastAsia="zh-CN"/>
              </w:rPr>
              <w:t>采购人</w:t>
            </w:r>
            <w:r>
              <w:rPr>
                <w:rFonts w:hint="eastAsia" w:asciiTheme="minorEastAsia" w:hAnsiTheme="minorEastAsia" w:eastAsiaTheme="minorEastAsia" w:cstheme="minorEastAsia"/>
                <w:color w:val="000000"/>
                <w:sz w:val="24"/>
                <w:szCs w:val="24"/>
                <w:highlight w:val="none"/>
                <w:lang w:eastAsia="zh-CN"/>
              </w:rPr>
              <w:t>紧急开工要求的，采购人有权按供应商提供虚假信息进行处理）并加盖供应商公章，未提供的不得分。</w:t>
            </w:r>
          </w:p>
        </w:tc>
      </w:tr>
      <w:tr w14:paraId="7EDA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47" w:type="dxa"/>
            <w:gridSpan w:val="4"/>
            <w:noWrap w:val="0"/>
            <w:vAlign w:val="center"/>
          </w:tcPr>
          <w:p w14:paraId="28DBDEAE">
            <w:pPr>
              <w:snapToGrid w:val="0"/>
              <w:spacing w:line="36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各供应商的技术部分得分B=B1+B2+B3+B4+B</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+B</w:t>
            </w:r>
            <w:r>
              <w:rPr>
                <w:rFonts w:hint="eastAsia" w:asciiTheme="minorEastAsia" w:hAnsiTheme="minorEastAsia" w:eastAsiaTheme="minorEastAsia" w:cstheme="minorEastAsia"/>
                <w:sz w:val="24"/>
                <w:szCs w:val="24"/>
                <w:lang w:val="en-US" w:eastAsia="zh-CN"/>
              </w:rPr>
              <w:t>12</w:t>
            </w:r>
          </w:p>
        </w:tc>
      </w:tr>
      <w:tr w14:paraId="19C7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noWrap w:val="0"/>
            <w:vAlign w:val="center"/>
          </w:tcPr>
          <w:p w14:paraId="0C6F69BC">
            <w:pPr>
              <w:pStyle w:val="26"/>
              <w:widowControl w:val="0"/>
              <w:spacing w:before="0" w:beforeAutospacing="0" w:after="0" w:afterAutospacing="0" w:line="360" w:lineRule="exact"/>
              <w:jc w:val="center"/>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三</w:t>
            </w:r>
          </w:p>
        </w:tc>
        <w:tc>
          <w:tcPr>
            <w:tcW w:w="8924" w:type="dxa"/>
            <w:gridSpan w:val="3"/>
            <w:noWrap w:val="0"/>
            <w:vAlign w:val="center"/>
          </w:tcPr>
          <w:p w14:paraId="1E35F1CE">
            <w:pPr>
              <w:spacing w:line="36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商务部分评分</w:t>
            </w:r>
            <w:r>
              <w:rPr>
                <w:rFonts w:hint="eastAsia" w:asciiTheme="minorEastAsia" w:hAnsiTheme="minorEastAsia" w:eastAsiaTheme="minorEastAsia" w:cstheme="minorEastAsia"/>
                <w:b/>
                <w:sz w:val="24"/>
                <w:szCs w:val="24"/>
                <w:highlight w:val="none"/>
              </w:rPr>
              <w:t>C（满</w:t>
            </w:r>
            <w:r>
              <w:rPr>
                <w:rFonts w:hint="eastAsia" w:asciiTheme="minorEastAsia" w:hAnsiTheme="minorEastAsia" w:eastAsiaTheme="minorEastAsia" w:cstheme="minorEastAsia"/>
                <w:b/>
                <w:color w:val="auto"/>
                <w:sz w:val="24"/>
                <w:szCs w:val="24"/>
                <w:highlight w:val="none"/>
              </w:rPr>
              <w:t>分</w:t>
            </w: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分）注:以</w:t>
            </w:r>
            <w:r>
              <w:rPr>
                <w:rFonts w:hint="eastAsia" w:asciiTheme="minorEastAsia" w:hAnsiTheme="minorEastAsia" w:eastAsiaTheme="minorEastAsia" w:cstheme="minorEastAsia"/>
                <w:b/>
                <w:sz w:val="24"/>
                <w:szCs w:val="24"/>
                <w:highlight w:val="none"/>
              </w:rPr>
              <w:t>下评</w:t>
            </w:r>
            <w:r>
              <w:rPr>
                <w:rFonts w:hint="eastAsia" w:asciiTheme="minorEastAsia" w:hAnsiTheme="minorEastAsia" w:eastAsiaTheme="minorEastAsia" w:cstheme="minorEastAsia"/>
                <w:b/>
                <w:sz w:val="24"/>
                <w:szCs w:val="24"/>
              </w:rPr>
              <w:t>分中，供应商均需提供证明文件且在有效期内，否则不得分。</w:t>
            </w:r>
          </w:p>
        </w:tc>
      </w:tr>
      <w:tr w14:paraId="324C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23" w:type="dxa"/>
            <w:noWrap w:val="0"/>
            <w:vAlign w:val="center"/>
          </w:tcPr>
          <w:p w14:paraId="014D6A6E">
            <w:pPr>
              <w:spacing w:line="36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rPr>
              <w:t>C1</w:t>
            </w:r>
          </w:p>
        </w:tc>
        <w:tc>
          <w:tcPr>
            <w:tcW w:w="1183" w:type="dxa"/>
            <w:noWrap w:val="0"/>
            <w:vAlign w:val="center"/>
          </w:tcPr>
          <w:p w14:paraId="3F6A7E56">
            <w:pPr>
              <w:keepNext w:val="0"/>
              <w:keepLines w:val="0"/>
              <w:pageBreakBefore w:val="0"/>
              <w:widowControl/>
              <w:kinsoku/>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000000"/>
                <w:kern w:val="0"/>
                <w:sz w:val="24"/>
                <w:szCs w:val="24"/>
                <w:lang w:val="en-US" w:eastAsia="zh-CN"/>
              </w:rPr>
              <w:t>业绩</w:t>
            </w:r>
          </w:p>
        </w:tc>
        <w:tc>
          <w:tcPr>
            <w:tcW w:w="720" w:type="dxa"/>
            <w:noWrap w:val="0"/>
            <w:vAlign w:val="center"/>
          </w:tcPr>
          <w:p w14:paraId="76AA02D6">
            <w:pPr>
              <w:keepNext w:val="0"/>
              <w:keepLines w:val="0"/>
              <w:pageBreakBefore w:val="0"/>
              <w:widowControl/>
              <w:kinsoku/>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lang w:val="en-US" w:eastAsia="zh-CN"/>
              </w:rPr>
              <w:t>3</w:t>
            </w:r>
          </w:p>
        </w:tc>
        <w:tc>
          <w:tcPr>
            <w:tcW w:w="7021" w:type="dxa"/>
            <w:noWrap w:val="0"/>
            <w:vAlign w:val="center"/>
          </w:tcPr>
          <w:p w14:paraId="7E0967E7">
            <w:pPr>
              <w:keepNext w:val="0"/>
              <w:keepLines w:val="0"/>
              <w:pageBreakBefore w:val="0"/>
              <w:widowControl/>
              <w:kinsoku/>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rPr>
              <w:t>根据供应商提供的202</w:t>
            </w:r>
            <w:r>
              <w:rPr>
                <w:rFonts w:hint="eastAsia" w:asciiTheme="minorEastAsia" w:hAnsiTheme="minorEastAsia" w:cstheme="minorEastAsia"/>
                <w:color w:val="000000"/>
                <w:kern w:val="0"/>
                <w:sz w:val="24"/>
                <w:szCs w:val="24"/>
                <w:highlight w:val="none"/>
                <w:lang w:val="en-US" w:eastAsia="zh-CN"/>
              </w:rPr>
              <w:t>3</w:t>
            </w:r>
            <w:r>
              <w:rPr>
                <w:rFonts w:hint="eastAsia" w:asciiTheme="minorEastAsia" w:hAnsiTheme="minorEastAsia" w:eastAsiaTheme="minorEastAsia" w:cstheme="minorEastAsia"/>
                <w:color w:val="000000"/>
                <w:kern w:val="0"/>
                <w:sz w:val="24"/>
                <w:szCs w:val="24"/>
                <w:highlight w:val="none"/>
                <w:lang w:val="en-US" w:eastAsia="zh-CN"/>
              </w:rPr>
              <w:t>年1月1日起至提交响应文件截止时间止（以合同签订日期为准），由供应商自身已完成的单个或年度的与本次同类型（房建或市政施工工程）业绩情况由磋商小组进行评分：每提供一份业绩证明材料得1分，满分3分。注：供应商应如实提供业绩证明文件，每份业绩须同时提供①中标/成交公告（提供相关网站中标/成交公告的下载网页并注明网址）；②中标/成交通知书复印件；③采购或施工或建设合同文本复印件；④提供能够证明该业绩项目已经业主单位验收合格的相关证明文件复印件。未提供或提供不全者不得分。磋商小组将保留要求供应商提供原件予以核查的权利；评审过程中如发现填报不实，本项不得分；合同履行过程中发现本项有虚假者，取消其成交资格，并追究相应的法律责任和进行相应的赔偿。</w:t>
            </w:r>
            <w:r>
              <w:rPr>
                <w:rFonts w:hint="eastAsia" w:asciiTheme="minorEastAsia" w:hAnsiTheme="minorEastAsia" w:eastAsiaTheme="minorEastAsia" w:cstheme="minorEastAsia"/>
                <w:b/>
                <w:bCs/>
                <w:color w:val="000000"/>
                <w:kern w:val="0"/>
                <w:sz w:val="24"/>
                <w:szCs w:val="24"/>
                <w:highlight w:val="none"/>
                <w:lang w:val="en-US" w:eastAsia="zh-CN"/>
              </w:rPr>
              <w:t>本项与“满意度”评分项同一项目的不重复计分。</w:t>
            </w:r>
          </w:p>
        </w:tc>
      </w:tr>
      <w:tr w14:paraId="098C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23" w:type="dxa"/>
            <w:noWrap w:val="0"/>
            <w:vAlign w:val="center"/>
          </w:tcPr>
          <w:p w14:paraId="66BE06E8">
            <w:pPr>
              <w:spacing w:line="36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C2</w:t>
            </w:r>
          </w:p>
        </w:tc>
        <w:tc>
          <w:tcPr>
            <w:tcW w:w="1183" w:type="dxa"/>
            <w:noWrap w:val="0"/>
            <w:vAlign w:val="center"/>
          </w:tcPr>
          <w:p w14:paraId="5E76DCD8">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sz w:val="24"/>
                <w:szCs w:val="24"/>
              </w:rPr>
              <w:t>满意度</w:t>
            </w:r>
          </w:p>
        </w:tc>
        <w:tc>
          <w:tcPr>
            <w:tcW w:w="720" w:type="dxa"/>
            <w:noWrap w:val="0"/>
            <w:vAlign w:val="center"/>
          </w:tcPr>
          <w:p w14:paraId="4ABE15AC">
            <w:pPr>
              <w:pStyle w:val="48"/>
              <w:keepNext w:val="0"/>
              <w:keepLines w:val="0"/>
              <w:pageBreakBefore w:val="0"/>
              <w:widowControl/>
              <w:kinsoku/>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sz w:val="24"/>
                <w:szCs w:val="24"/>
                <w:lang w:val="en-US" w:eastAsia="zh-CN"/>
              </w:rPr>
              <w:t>3</w:t>
            </w:r>
          </w:p>
        </w:tc>
        <w:tc>
          <w:tcPr>
            <w:tcW w:w="7021" w:type="dxa"/>
            <w:noWrap w:val="0"/>
            <w:vAlign w:val="top"/>
          </w:tcPr>
          <w:p w14:paraId="0391278B">
            <w:pPr>
              <w:pStyle w:val="48"/>
              <w:keepNext w:val="0"/>
              <w:keepLines w:val="0"/>
              <w:pageBreakBefore w:val="0"/>
              <w:widowControl/>
              <w:kinsoku/>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bCs/>
                <w:color w:val="auto"/>
                <w:sz w:val="24"/>
                <w:szCs w:val="24"/>
                <w:highlight w:val="none"/>
              </w:rPr>
              <w:t>根据供应商提供的自</w:t>
            </w:r>
            <w:r>
              <w:rPr>
                <w:rFonts w:hint="eastAsia" w:asciiTheme="minorEastAsia" w:hAnsiTheme="minorEastAsia" w:eastAsiaTheme="minorEastAsia" w:cstheme="minorEastAsia"/>
                <w:bCs/>
                <w:color w:val="auto"/>
                <w:sz w:val="24"/>
                <w:szCs w:val="24"/>
                <w:highlight w:val="none"/>
                <w:lang w:val="en-US" w:eastAsia="zh-CN"/>
              </w:rPr>
              <w:t>202</w:t>
            </w:r>
            <w:r>
              <w:rPr>
                <w:rFonts w:hint="eastAsia" w:asciiTheme="minorEastAsia" w:hAnsiTheme="minorEastAsia" w:cstheme="minorEastAsia"/>
                <w:bCs/>
                <w:color w:val="auto"/>
                <w:sz w:val="24"/>
                <w:szCs w:val="24"/>
                <w:highlight w:val="none"/>
                <w:lang w:val="en-US" w:eastAsia="zh-CN"/>
              </w:rPr>
              <w:t>3</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lang w:val="en-US" w:eastAsia="zh-CN"/>
              </w:rPr>
              <w:t>1</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lang w:val="en-US" w:eastAsia="zh-CN"/>
              </w:rPr>
              <w:t>1</w:t>
            </w:r>
            <w:r>
              <w:rPr>
                <w:rFonts w:hint="eastAsia" w:asciiTheme="minorEastAsia" w:hAnsiTheme="minorEastAsia" w:eastAsiaTheme="minorEastAsia" w:cstheme="minorEastAsia"/>
                <w:bCs/>
                <w:color w:val="auto"/>
                <w:sz w:val="24"/>
                <w:szCs w:val="24"/>
                <w:highlight w:val="none"/>
              </w:rPr>
              <w:t>日起至提交响应文件截止时间（以用户满意度落款时间为准），已完成的</w:t>
            </w:r>
            <w:r>
              <w:rPr>
                <w:rFonts w:hint="eastAsia" w:asciiTheme="minorEastAsia" w:hAnsiTheme="minorEastAsia" w:eastAsiaTheme="minorEastAsia" w:cstheme="minorEastAsia"/>
                <w:color w:val="auto"/>
                <w:kern w:val="0"/>
                <w:sz w:val="24"/>
                <w:szCs w:val="24"/>
                <w:highlight w:val="none"/>
                <w:lang w:val="en-US" w:eastAsia="zh-CN"/>
              </w:rPr>
              <w:t>单个或年度的与本次同类型（房建或市政施工工程）</w:t>
            </w:r>
            <w:r>
              <w:rPr>
                <w:rFonts w:hint="eastAsia" w:asciiTheme="minorEastAsia" w:hAnsiTheme="minorEastAsia" w:eastAsiaTheme="minorEastAsia" w:cstheme="minorEastAsia"/>
                <w:bCs/>
                <w:color w:val="auto"/>
                <w:sz w:val="24"/>
                <w:szCs w:val="24"/>
                <w:highlight w:val="none"/>
              </w:rPr>
              <w:t>业主满意度评价情况进行评分，满意度评价为</w:t>
            </w:r>
            <w:r>
              <w:rPr>
                <w:rFonts w:hint="eastAsia" w:asciiTheme="minorEastAsia" w:hAnsiTheme="minorEastAsia" w:eastAsiaTheme="minorEastAsia" w:cstheme="minorEastAsia"/>
                <w:bCs/>
                <w:color w:val="auto"/>
                <w:sz w:val="24"/>
                <w:szCs w:val="24"/>
                <w:highlight w:val="none"/>
                <w:lang w:val="en-US" w:eastAsia="zh-CN"/>
              </w:rPr>
              <w:t>良好、</w:t>
            </w:r>
            <w:r>
              <w:rPr>
                <w:rFonts w:hint="eastAsia" w:asciiTheme="minorEastAsia" w:hAnsiTheme="minorEastAsia" w:eastAsiaTheme="minorEastAsia" w:cstheme="minorEastAsia"/>
                <w:bCs/>
                <w:color w:val="auto"/>
                <w:sz w:val="24"/>
                <w:szCs w:val="24"/>
                <w:highlight w:val="none"/>
              </w:rPr>
              <w:t>优秀或满意或同等评价的，每提供1份得1分，满分3分。供应商须同时提供该项目的中标</w:t>
            </w:r>
            <w:r>
              <w:rPr>
                <w:rFonts w:hint="eastAsia" w:asciiTheme="minorEastAsia" w:hAnsiTheme="minorEastAsia" w:eastAsiaTheme="minorEastAsia" w:cstheme="minorEastAsia"/>
                <w:color w:val="000000"/>
                <w:kern w:val="0"/>
                <w:sz w:val="24"/>
                <w:szCs w:val="24"/>
                <w:highlight w:val="none"/>
                <w:lang w:val="en-US" w:eastAsia="zh-CN"/>
              </w:rPr>
              <w:t>/成交</w:t>
            </w:r>
            <w:r>
              <w:rPr>
                <w:rFonts w:hint="eastAsia" w:asciiTheme="minorEastAsia" w:hAnsiTheme="minorEastAsia" w:eastAsiaTheme="minorEastAsia" w:cstheme="minorEastAsia"/>
                <w:bCs/>
                <w:color w:val="auto"/>
                <w:sz w:val="24"/>
                <w:szCs w:val="24"/>
                <w:highlight w:val="none"/>
              </w:rPr>
              <w:t>公告（提供相关网站中标</w:t>
            </w:r>
            <w:r>
              <w:rPr>
                <w:rFonts w:hint="eastAsia" w:asciiTheme="minorEastAsia" w:hAnsiTheme="minorEastAsia" w:eastAsiaTheme="minorEastAsia" w:cstheme="minorEastAsia"/>
                <w:color w:val="000000"/>
                <w:kern w:val="0"/>
                <w:sz w:val="24"/>
                <w:szCs w:val="24"/>
                <w:highlight w:val="none"/>
                <w:lang w:val="en-US" w:eastAsia="zh-CN"/>
              </w:rPr>
              <w:t>/成交</w:t>
            </w:r>
            <w:r>
              <w:rPr>
                <w:rFonts w:hint="eastAsia" w:asciiTheme="minorEastAsia" w:hAnsiTheme="minorEastAsia" w:eastAsiaTheme="minorEastAsia" w:cstheme="minorEastAsia"/>
                <w:bCs/>
                <w:color w:val="auto"/>
                <w:sz w:val="24"/>
                <w:szCs w:val="24"/>
                <w:highlight w:val="none"/>
              </w:rPr>
              <w:t>公告的下载网页并注明网址）、中标</w:t>
            </w:r>
            <w:r>
              <w:rPr>
                <w:rFonts w:hint="eastAsia" w:asciiTheme="minorEastAsia" w:hAnsiTheme="minorEastAsia" w:eastAsiaTheme="minorEastAsia" w:cstheme="minorEastAsia"/>
                <w:color w:val="000000"/>
                <w:kern w:val="0"/>
                <w:sz w:val="24"/>
                <w:szCs w:val="24"/>
                <w:highlight w:val="none"/>
                <w:lang w:val="en-US" w:eastAsia="zh-CN"/>
              </w:rPr>
              <w:t>/成交</w:t>
            </w:r>
            <w:r>
              <w:rPr>
                <w:rFonts w:hint="eastAsia" w:asciiTheme="minorEastAsia" w:hAnsiTheme="minorEastAsia" w:eastAsiaTheme="minorEastAsia" w:cstheme="minorEastAsia"/>
                <w:bCs/>
                <w:color w:val="auto"/>
                <w:sz w:val="24"/>
                <w:szCs w:val="24"/>
                <w:highlight w:val="none"/>
              </w:rPr>
              <w:t>通知书复印件、采购合同文本复印件、能够证明该业绩项目已经采购人验收合格的相关证明文件复印件以及加盖采购人单位公章的满意度评价。同一用户的满意度评价不重复得分。</w:t>
            </w:r>
            <w:r>
              <w:rPr>
                <w:rFonts w:hint="eastAsia" w:asciiTheme="minorEastAsia" w:hAnsiTheme="minorEastAsia" w:eastAsiaTheme="minorEastAsia" w:cstheme="minorEastAsia"/>
                <w:b/>
                <w:bCs/>
                <w:color w:val="000000"/>
                <w:kern w:val="0"/>
                <w:sz w:val="24"/>
                <w:szCs w:val="24"/>
                <w:highlight w:val="none"/>
                <w:lang w:val="en-US" w:eastAsia="zh-CN"/>
              </w:rPr>
              <w:t>本项与“业绩”评分项同一项目的不重复计分。</w:t>
            </w:r>
          </w:p>
        </w:tc>
      </w:tr>
      <w:tr w14:paraId="4191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647" w:type="dxa"/>
            <w:gridSpan w:val="4"/>
            <w:noWrap w:val="0"/>
            <w:vAlign w:val="center"/>
          </w:tcPr>
          <w:p w14:paraId="25A25238">
            <w:pPr>
              <w:widowControl/>
              <w:spacing w:line="360" w:lineRule="exact"/>
              <w:rPr>
                <w:rFonts w:hint="eastAsia" w:asciiTheme="minorEastAsia" w:hAnsiTheme="minorEastAsia" w:eastAsiaTheme="minorEastAsia" w:cstheme="minorEastAsia"/>
                <w:kern w:val="0"/>
                <w:sz w:val="24"/>
                <w:szCs w:val="24"/>
                <w:shd w:val="clear" w:color="auto" w:fill="FFFFFF"/>
                <w:lang w:val="en-US" w:eastAsia="zh-CN" w:bidi="ar"/>
              </w:rPr>
            </w:pPr>
            <w:r>
              <w:rPr>
                <w:rFonts w:hint="eastAsia" w:asciiTheme="minorEastAsia" w:hAnsiTheme="minorEastAsia" w:eastAsiaTheme="minorEastAsia" w:cstheme="minorEastAsia"/>
                <w:sz w:val="24"/>
                <w:szCs w:val="24"/>
              </w:rPr>
              <w:t>各供应商的商务部分得分C=C1+C2</w:t>
            </w:r>
          </w:p>
        </w:tc>
      </w:tr>
      <w:tr w14:paraId="7DB1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647" w:type="dxa"/>
            <w:gridSpan w:val="4"/>
            <w:noWrap w:val="0"/>
            <w:vAlign w:val="center"/>
          </w:tcPr>
          <w:p w14:paraId="3DA483E7">
            <w:pPr>
              <w:spacing w:line="36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kern w:val="1"/>
                <w:sz w:val="24"/>
                <w:szCs w:val="24"/>
              </w:rPr>
              <w:t>各供应商的最终得分为A+B+C</w:t>
            </w:r>
          </w:p>
        </w:tc>
      </w:tr>
    </w:tbl>
    <w:p w14:paraId="4621E642">
      <w:pPr>
        <w:pStyle w:val="26"/>
        <w:widowControl/>
        <w:spacing w:before="75" w:beforeAutospacing="0" w:after="75" w:afterAutospacing="0" w:line="420" w:lineRule="atLeast"/>
        <w:rPr>
          <w:rFonts w:hint="eastAsia" w:asciiTheme="minorEastAsia" w:hAnsiTheme="minorEastAsia" w:cstheme="minorEastAsia"/>
          <w:color w:val="auto"/>
        </w:rPr>
      </w:pPr>
    </w:p>
    <w:p w14:paraId="128E9D70">
      <w:pPr>
        <w:ind w:firstLine="241" w:firstLineChars="100"/>
        <w:jc w:val="center"/>
        <w:rPr>
          <w:rFonts w:hint="eastAsia" w:ascii="宋体" w:hAnsi="宋体"/>
          <w:b/>
          <w:color w:val="auto"/>
          <w:sz w:val="24"/>
        </w:rPr>
      </w:pPr>
      <w:bookmarkStart w:id="54" w:name="_Toc17906229"/>
    </w:p>
    <w:p w14:paraId="77DC01B8">
      <w:pPr>
        <w:ind w:firstLine="241" w:firstLineChars="100"/>
        <w:jc w:val="center"/>
        <w:rPr>
          <w:rFonts w:hint="eastAsia" w:ascii="宋体" w:hAnsi="宋体"/>
          <w:b/>
          <w:color w:val="auto"/>
          <w:sz w:val="24"/>
        </w:rPr>
      </w:pPr>
    </w:p>
    <w:p w14:paraId="4A4B45F2">
      <w:pPr>
        <w:ind w:firstLine="241" w:firstLineChars="100"/>
        <w:jc w:val="center"/>
        <w:rPr>
          <w:rFonts w:hint="eastAsia" w:ascii="宋体" w:hAnsi="宋体"/>
          <w:b/>
          <w:color w:val="auto"/>
          <w:sz w:val="24"/>
        </w:rPr>
      </w:pPr>
    </w:p>
    <w:p w14:paraId="07A7095F">
      <w:pPr>
        <w:ind w:firstLine="241" w:firstLineChars="100"/>
        <w:jc w:val="center"/>
        <w:rPr>
          <w:rFonts w:hint="eastAsia" w:ascii="宋体" w:hAnsi="宋体"/>
          <w:b/>
          <w:color w:val="auto"/>
          <w:sz w:val="24"/>
        </w:rPr>
      </w:pPr>
    </w:p>
    <w:p w14:paraId="27D0235A">
      <w:pPr>
        <w:ind w:firstLine="241" w:firstLineChars="100"/>
        <w:jc w:val="center"/>
        <w:rPr>
          <w:rFonts w:hint="eastAsia" w:ascii="宋体" w:hAnsi="宋体"/>
          <w:b/>
          <w:color w:val="auto"/>
          <w:sz w:val="24"/>
        </w:rPr>
      </w:pPr>
    </w:p>
    <w:p w14:paraId="13B71D29">
      <w:pPr>
        <w:ind w:firstLine="241" w:firstLineChars="100"/>
        <w:jc w:val="center"/>
        <w:rPr>
          <w:rFonts w:hint="eastAsia" w:ascii="宋体" w:hAnsi="宋体"/>
          <w:b/>
          <w:color w:val="auto"/>
          <w:sz w:val="24"/>
        </w:rPr>
      </w:pPr>
    </w:p>
    <w:p w14:paraId="49574652">
      <w:pPr>
        <w:ind w:firstLine="241" w:firstLineChars="100"/>
        <w:jc w:val="center"/>
        <w:rPr>
          <w:rFonts w:hint="eastAsia" w:ascii="宋体" w:hAnsi="宋体"/>
          <w:b/>
          <w:color w:val="auto"/>
          <w:sz w:val="24"/>
        </w:rPr>
      </w:pPr>
    </w:p>
    <w:p w14:paraId="43715E70">
      <w:pPr>
        <w:ind w:firstLine="241" w:firstLineChars="100"/>
        <w:jc w:val="center"/>
        <w:rPr>
          <w:rFonts w:hint="eastAsia" w:ascii="宋体" w:hAnsi="宋体"/>
          <w:b/>
          <w:color w:val="auto"/>
          <w:sz w:val="24"/>
        </w:rPr>
      </w:pPr>
    </w:p>
    <w:p w14:paraId="69E3D8DB">
      <w:pPr>
        <w:ind w:firstLine="241" w:firstLineChars="100"/>
        <w:jc w:val="center"/>
        <w:rPr>
          <w:rFonts w:hint="eastAsia" w:ascii="宋体" w:hAnsi="宋体"/>
          <w:b/>
          <w:color w:val="auto"/>
          <w:sz w:val="24"/>
        </w:rPr>
      </w:pPr>
      <w:r>
        <w:rPr>
          <w:rFonts w:hint="eastAsia" w:ascii="宋体" w:hAnsi="宋体"/>
          <w:b/>
          <w:color w:val="auto"/>
          <w:sz w:val="24"/>
        </w:rPr>
        <w:t>一、  说明</w:t>
      </w:r>
      <w:bookmarkEnd w:id="54"/>
    </w:p>
    <w:p w14:paraId="7552F532">
      <w:pPr>
        <w:spacing w:line="360" w:lineRule="auto"/>
        <w:rPr>
          <w:rFonts w:hint="eastAsia" w:ascii="宋体" w:hAnsi="宋体"/>
          <w:b/>
          <w:color w:val="auto"/>
          <w:sz w:val="24"/>
        </w:rPr>
      </w:pPr>
      <w:r>
        <w:rPr>
          <w:rFonts w:ascii="宋体" w:hAnsi="宋体"/>
          <w:b/>
          <w:color w:val="auto"/>
          <w:sz w:val="24"/>
        </w:rPr>
        <w:t xml:space="preserve">1. </w:t>
      </w:r>
      <w:r>
        <w:rPr>
          <w:rFonts w:hint="eastAsia" w:ascii="宋体" w:hAnsi="宋体"/>
          <w:b/>
          <w:color w:val="auto"/>
          <w:sz w:val="24"/>
        </w:rPr>
        <w:t>适用范围</w:t>
      </w:r>
    </w:p>
    <w:p w14:paraId="69301817">
      <w:pPr>
        <w:spacing w:line="360" w:lineRule="auto"/>
        <w:rPr>
          <w:rFonts w:hint="eastAsia" w:ascii="宋体" w:hAnsi="宋体"/>
          <w:color w:val="auto"/>
          <w:sz w:val="24"/>
        </w:rPr>
      </w:pPr>
      <w:r>
        <w:rPr>
          <w:rFonts w:hint="eastAsia" w:ascii="宋体" w:hAnsi="宋体"/>
          <w:color w:val="auto"/>
          <w:sz w:val="24"/>
        </w:rPr>
        <w:t xml:space="preserve">    </w:t>
      </w:r>
      <w:r>
        <w:rPr>
          <w:rFonts w:ascii="宋体" w:hAnsi="宋体"/>
          <w:color w:val="auto"/>
          <w:sz w:val="24"/>
        </w:rPr>
        <w:t>1.1</w:t>
      </w:r>
      <w:r>
        <w:rPr>
          <w:rFonts w:hint="eastAsia" w:ascii="宋体" w:hAnsi="宋体"/>
          <w:color w:val="auto"/>
          <w:sz w:val="24"/>
        </w:rPr>
        <w:t xml:space="preserve"> 本磋商文件仅适用于磋商邀请中所叙述项目的货物及服务采购。</w:t>
      </w:r>
    </w:p>
    <w:p w14:paraId="56354D01">
      <w:pPr>
        <w:spacing w:line="360" w:lineRule="auto"/>
        <w:rPr>
          <w:rFonts w:hint="eastAsia" w:ascii="宋体" w:hAnsi="宋体"/>
          <w:b/>
          <w:color w:val="auto"/>
          <w:sz w:val="24"/>
        </w:rPr>
      </w:pPr>
      <w:r>
        <w:rPr>
          <w:rFonts w:ascii="宋体" w:hAnsi="宋体"/>
          <w:b/>
          <w:color w:val="auto"/>
          <w:sz w:val="24"/>
        </w:rPr>
        <w:t xml:space="preserve">2. </w:t>
      </w:r>
      <w:r>
        <w:rPr>
          <w:rFonts w:hint="eastAsia" w:ascii="宋体" w:hAnsi="宋体"/>
          <w:b/>
          <w:color w:val="auto"/>
          <w:sz w:val="24"/>
        </w:rPr>
        <w:t>定义</w:t>
      </w:r>
    </w:p>
    <w:p w14:paraId="178CF884">
      <w:pPr>
        <w:spacing w:line="360" w:lineRule="auto"/>
        <w:ind w:firstLine="480"/>
        <w:rPr>
          <w:rFonts w:hint="eastAsia" w:ascii="宋体" w:hAnsi="宋体"/>
          <w:color w:val="auto"/>
          <w:sz w:val="24"/>
        </w:rPr>
      </w:pPr>
      <w:r>
        <w:rPr>
          <w:rFonts w:ascii="宋体" w:hAnsi="宋体"/>
          <w:color w:val="auto"/>
          <w:sz w:val="24"/>
        </w:rPr>
        <w:t>2.1</w:t>
      </w:r>
      <w:r>
        <w:rPr>
          <w:rFonts w:hint="eastAsia" w:ascii="宋体" w:hAnsi="宋体"/>
          <w:color w:val="auto"/>
          <w:sz w:val="24"/>
        </w:rPr>
        <w:t xml:space="preserve"> “采购人”系指本次采购项目的业主方。</w:t>
      </w:r>
    </w:p>
    <w:p w14:paraId="55D64A89">
      <w:pPr>
        <w:spacing w:line="360" w:lineRule="auto"/>
        <w:ind w:firstLine="480"/>
        <w:rPr>
          <w:rFonts w:hint="eastAsia" w:ascii="宋体" w:hAnsi="宋体"/>
          <w:color w:val="auto"/>
          <w:sz w:val="24"/>
        </w:rPr>
      </w:pPr>
      <w:r>
        <w:rPr>
          <w:rFonts w:ascii="宋体" w:hAnsi="宋体"/>
          <w:color w:val="auto"/>
          <w:sz w:val="24"/>
        </w:rPr>
        <w:t>2.</w:t>
      </w:r>
      <w:r>
        <w:rPr>
          <w:rFonts w:hint="eastAsia" w:ascii="宋体" w:hAnsi="宋体"/>
          <w:color w:val="auto"/>
          <w:sz w:val="24"/>
        </w:rPr>
        <w:t>2 “招标采购单位”系指组织本次磋商活动的采购人或招标代理机构。</w:t>
      </w:r>
    </w:p>
    <w:p w14:paraId="77B3BE6E">
      <w:pPr>
        <w:spacing w:line="360" w:lineRule="auto"/>
        <w:ind w:firstLine="480"/>
        <w:rPr>
          <w:rFonts w:hint="eastAsia" w:ascii="宋体" w:hAnsi="宋体"/>
          <w:color w:val="auto"/>
          <w:sz w:val="24"/>
        </w:rPr>
      </w:pPr>
      <w:r>
        <w:rPr>
          <w:rFonts w:ascii="宋体" w:hAnsi="宋体"/>
          <w:color w:val="auto"/>
          <w:sz w:val="24"/>
        </w:rPr>
        <w:t>2.</w:t>
      </w:r>
      <w:r>
        <w:rPr>
          <w:rFonts w:hint="eastAsia" w:ascii="宋体" w:hAnsi="宋体"/>
          <w:color w:val="auto"/>
          <w:sz w:val="24"/>
        </w:rPr>
        <w:t>3 “招标代理机构”系指本次磋商采购项目活动组织方。</w:t>
      </w:r>
    </w:p>
    <w:p w14:paraId="1B4E9E39">
      <w:pPr>
        <w:spacing w:line="360" w:lineRule="auto"/>
        <w:ind w:firstLine="480"/>
        <w:rPr>
          <w:rFonts w:hint="eastAsia" w:ascii="宋体" w:hAnsi="宋体"/>
          <w:color w:val="auto"/>
          <w:sz w:val="24"/>
        </w:rPr>
      </w:pPr>
      <w:r>
        <w:rPr>
          <w:rFonts w:hint="eastAsia" w:ascii="宋体" w:hAnsi="宋体"/>
          <w:color w:val="auto"/>
          <w:sz w:val="24"/>
        </w:rPr>
        <w:t>2</w:t>
      </w:r>
      <w:r>
        <w:rPr>
          <w:rFonts w:ascii="宋体" w:hAnsi="宋体"/>
          <w:color w:val="auto"/>
          <w:sz w:val="24"/>
        </w:rPr>
        <w:t xml:space="preserve">.4 </w:t>
      </w:r>
      <w:r>
        <w:rPr>
          <w:rFonts w:hint="eastAsia" w:ascii="宋体" w:hAnsi="宋体"/>
          <w:color w:val="auto"/>
          <w:sz w:val="24"/>
        </w:rPr>
        <w:t>“供应商”系指购买了本磋商文件，且已经提交或者准备提交本次响应文件的制造商或供货商。</w:t>
      </w:r>
    </w:p>
    <w:p w14:paraId="67BDE623">
      <w:pPr>
        <w:spacing w:line="360" w:lineRule="auto"/>
        <w:rPr>
          <w:rFonts w:hint="eastAsia" w:ascii="宋体" w:hAnsi="宋体"/>
          <w:color w:val="auto"/>
          <w:sz w:val="24"/>
        </w:rPr>
      </w:pPr>
      <w:r>
        <w:rPr>
          <w:rFonts w:hint="eastAsia" w:ascii="宋体" w:hAnsi="宋体"/>
          <w:color w:val="auto"/>
          <w:sz w:val="24"/>
        </w:rPr>
        <w:t xml:space="preserve">    </w:t>
      </w:r>
      <w:r>
        <w:rPr>
          <w:rFonts w:ascii="宋体" w:hAnsi="宋体"/>
          <w:color w:val="auto"/>
          <w:sz w:val="24"/>
        </w:rPr>
        <w:t>2</w:t>
      </w:r>
      <w:r>
        <w:rPr>
          <w:rFonts w:hint="eastAsia" w:ascii="宋体" w:hAnsi="宋体"/>
          <w:color w:val="auto"/>
          <w:sz w:val="24"/>
        </w:rPr>
        <w:t>.5 “货物”系指卖方按磋商文件规定向买方提供的一切设备、机械、仪器仪表、备品备件、工具、手册及其它有关技术资料和材料。</w:t>
      </w:r>
    </w:p>
    <w:p w14:paraId="39987830">
      <w:pPr>
        <w:spacing w:line="360" w:lineRule="auto"/>
        <w:ind w:firstLine="480"/>
        <w:rPr>
          <w:rFonts w:hint="eastAsia" w:ascii="宋体" w:hAnsi="宋体"/>
          <w:color w:val="auto"/>
          <w:sz w:val="24"/>
        </w:rPr>
      </w:pPr>
      <w:r>
        <w:rPr>
          <w:rFonts w:ascii="宋体" w:hAnsi="宋体"/>
          <w:color w:val="auto"/>
          <w:sz w:val="24"/>
        </w:rPr>
        <w:t>2</w:t>
      </w:r>
      <w:r>
        <w:rPr>
          <w:rFonts w:hint="eastAsia" w:ascii="宋体" w:hAnsi="宋体"/>
          <w:color w:val="auto"/>
          <w:sz w:val="24"/>
        </w:rPr>
        <w:t>.6 “服务”系指磋商文件规定卖方须承担的安装、调试、技术协助、校准、培训以及其他类似的义务。</w:t>
      </w:r>
    </w:p>
    <w:p w14:paraId="44B3E3C6">
      <w:pPr>
        <w:spacing w:line="360" w:lineRule="auto"/>
        <w:ind w:firstLine="480"/>
        <w:rPr>
          <w:rFonts w:hint="eastAsia" w:ascii="宋体" w:hAnsi="宋体"/>
          <w:color w:val="auto"/>
          <w:sz w:val="24"/>
        </w:rPr>
      </w:pPr>
      <w:r>
        <w:rPr>
          <w:rFonts w:hint="eastAsia" w:ascii="宋体" w:hAnsi="宋体"/>
          <w:color w:val="auto"/>
          <w:sz w:val="24"/>
        </w:rPr>
        <w:t>2.7 “工程”，系指包括建筑物和构筑物的新建、改建、扩建、装修、拆除、修缮等建设工程。</w:t>
      </w:r>
    </w:p>
    <w:p w14:paraId="001EC7A8">
      <w:pPr>
        <w:spacing w:line="360" w:lineRule="auto"/>
        <w:rPr>
          <w:rFonts w:hint="eastAsia" w:ascii="宋体" w:hAnsi="宋体"/>
          <w:b/>
          <w:color w:val="auto"/>
          <w:sz w:val="24"/>
        </w:rPr>
      </w:pPr>
      <w:r>
        <w:rPr>
          <w:rFonts w:ascii="宋体" w:hAnsi="宋体"/>
          <w:b/>
          <w:color w:val="auto"/>
          <w:sz w:val="24"/>
        </w:rPr>
        <w:t xml:space="preserve">3. </w:t>
      </w:r>
      <w:r>
        <w:rPr>
          <w:rFonts w:hint="eastAsia" w:ascii="宋体" w:hAnsi="宋体"/>
          <w:b/>
          <w:color w:val="auto"/>
          <w:sz w:val="24"/>
        </w:rPr>
        <w:t>合格的供应商</w:t>
      </w:r>
    </w:p>
    <w:p w14:paraId="4E6D15FE">
      <w:pPr>
        <w:spacing w:line="360" w:lineRule="auto"/>
        <w:rPr>
          <w:rFonts w:hint="eastAsia" w:ascii="宋体" w:hAnsi="宋体"/>
          <w:color w:val="auto"/>
          <w:sz w:val="24"/>
        </w:rPr>
      </w:pPr>
      <w:r>
        <w:rPr>
          <w:rFonts w:hint="eastAsia" w:ascii="宋体" w:hAnsi="宋体"/>
          <w:color w:val="auto"/>
          <w:sz w:val="24"/>
        </w:rPr>
        <w:t xml:space="preserve">    </w:t>
      </w:r>
      <w:r>
        <w:rPr>
          <w:rFonts w:ascii="宋体" w:hAnsi="宋体"/>
          <w:color w:val="auto"/>
          <w:sz w:val="24"/>
        </w:rPr>
        <w:t>3.1</w:t>
      </w:r>
      <w:r>
        <w:rPr>
          <w:rFonts w:hint="eastAsia" w:ascii="宋体" w:hAnsi="宋体"/>
          <w:color w:val="auto"/>
          <w:sz w:val="24"/>
        </w:rPr>
        <w:t xml:space="preserve"> 供应商须知前附表第2项所述的资格标准要求。</w:t>
      </w:r>
    </w:p>
    <w:p w14:paraId="05B59594">
      <w:pPr>
        <w:spacing w:line="360" w:lineRule="auto"/>
        <w:ind w:firstLine="480" w:firstLineChars="200"/>
        <w:rPr>
          <w:rFonts w:hint="eastAsia" w:ascii="宋体" w:hAnsi="宋体"/>
          <w:color w:val="auto"/>
          <w:sz w:val="24"/>
        </w:rPr>
      </w:pPr>
      <w:r>
        <w:rPr>
          <w:rFonts w:hint="eastAsia" w:ascii="宋体" w:hAnsi="宋体"/>
          <w:color w:val="auto"/>
          <w:sz w:val="24"/>
        </w:rPr>
        <w:t>3.2 供应商应遵守中国和福建省的有关法律、法规和规章的规定。</w:t>
      </w:r>
    </w:p>
    <w:p w14:paraId="3BDDF717">
      <w:pPr>
        <w:spacing w:line="360" w:lineRule="auto"/>
        <w:ind w:firstLine="480" w:firstLineChars="200"/>
        <w:rPr>
          <w:rFonts w:hint="eastAsia" w:ascii="宋体" w:hAnsi="宋体"/>
          <w:color w:val="auto"/>
          <w:sz w:val="24"/>
        </w:rPr>
      </w:pPr>
      <w:r>
        <w:rPr>
          <w:rFonts w:hint="eastAsia" w:ascii="宋体" w:hAnsi="宋体"/>
          <w:color w:val="auto"/>
          <w:sz w:val="24"/>
        </w:rPr>
        <w:t>3.3供应商生产、经销货物或服务，必须得到有关行政主管部门许可的资格。</w:t>
      </w:r>
    </w:p>
    <w:p w14:paraId="190F0B8B">
      <w:pPr>
        <w:spacing w:line="360" w:lineRule="auto"/>
        <w:ind w:firstLine="480" w:firstLineChars="200"/>
        <w:rPr>
          <w:rFonts w:hint="eastAsia" w:ascii="宋体" w:hAnsi="宋体"/>
          <w:color w:val="auto"/>
          <w:sz w:val="24"/>
        </w:rPr>
      </w:pPr>
      <w:r>
        <w:rPr>
          <w:rFonts w:hint="eastAsia" w:ascii="宋体" w:hAnsi="宋体"/>
          <w:color w:val="auto"/>
          <w:sz w:val="24"/>
        </w:rPr>
        <w:t>3.4单位负责人为同一人或者存在直接控股、管理关系的不同供应商，不得参加同一合同项下的政府采购活动。如果供应商之间存在下列互为关联关系的情形之一的，不得同时参加本项目报价：</w:t>
      </w:r>
    </w:p>
    <w:p w14:paraId="26A450F0">
      <w:pPr>
        <w:spacing w:line="360" w:lineRule="auto"/>
        <w:ind w:firstLine="480" w:firstLineChars="200"/>
        <w:rPr>
          <w:rFonts w:hint="eastAsia" w:ascii="宋体" w:hAnsi="宋体"/>
          <w:color w:val="auto"/>
          <w:sz w:val="24"/>
        </w:rPr>
      </w:pPr>
      <w:r>
        <w:rPr>
          <w:rFonts w:hint="eastAsia" w:ascii="宋体" w:hAnsi="宋体"/>
          <w:color w:val="auto"/>
          <w:sz w:val="24"/>
        </w:rPr>
        <w:t>(1) 单位负责人为同一人的两个及两个以上法人（或负责人）；</w:t>
      </w:r>
    </w:p>
    <w:p w14:paraId="2CA4FE48">
      <w:pPr>
        <w:spacing w:line="360" w:lineRule="auto"/>
        <w:ind w:firstLine="480" w:firstLineChars="200"/>
        <w:rPr>
          <w:rFonts w:hint="eastAsia" w:ascii="宋体" w:hAnsi="宋体"/>
          <w:color w:val="auto"/>
          <w:sz w:val="24"/>
        </w:rPr>
      </w:pPr>
      <w:r>
        <w:rPr>
          <w:rFonts w:hint="eastAsia" w:ascii="宋体" w:hAnsi="宋体"/>
          <w:color w:val="auto"/>
          <w:sz w:val="24"/>
        </w:rPr>
        <w:t>(2) 母公司、直接或间接持股50％及以上的被投资公司；</w:t>
      </w:r>
    </w:p>
    <w:p w14:paraId="774CBCD8">
      <w:pPr>
        <w:spacing w:line="360" w:lineRule="auto"/>
        <w:ind w:firstLine="480" w:firstLineChars="200"/>
        <w:rPr>
          <w:rFonts w:hint="eastAsia" w:ascii="宋体" w:hAnsi="宋体"/>
          <w:color w:val="auto"/>
          <w:sz w:val="24"/>
        </w:rPr>
      </w:pPr>
      <w:r>
        <w:rPr>
          <w:rFonts w:hint="eastAsia" w:ascii="宋体" w:hAnsi="宋体"/>
          <w:color w:val="auto"/>
          <w:sz w:val="24"/>
        </w:rPr>
        <w:t>(3) 均为同一家母公司直接或间接持股50％及以上的被投资公司。</w:t>
      </w:r>
    </w:p>
    <w:p w14:paraId="507C56B5">
      <w:pPr>
        <w:spacing w:line="360" w:lineRule="auto"/>
        <w:ind w:firstLine="480" w:firstLineChars="200"/>
        <w:rPr>
          <w:rFonts w:hint="eastAsia" w:ascii="宋体" w:hAnsi="宋体"/>
          <w:color w:val="auto"/>
          <w:sz w:val="24"/>
        </w:rPr>
      </w:pPr>
      <w:r>
        <w:rPr>
          <w:rFonts w:hint="eastAsia" w:ascii="宋体" w:hAnsi="宋体"/>
          <w:color w:val="auto"/>
          <w:sz w:val="24"/>
        </w:rPr>
        <w:t>3.5 为采购项目提供整体设计、规范编制或者项目管理、监理、检测等服务的供应商，不得再参加该采购项目的其他采购活动。</w:t>
      </w:r>
    </w:p>
    <w:p w14:paraId="1A869F82">
      <w:pPr>
        <w:spacing w:line="360" w:lineRule="auto"/>
        <w:ind w:firstLine="480" w:firstLineChars="200"/>
        <w:rPr>
          <w:rFonts w:hint="eastAsia" w:ascii="宋体" w:hAnsi="宋体"/>
          <w:color w:val="auto"/>
          <w:sz w:val="24"/>
        </w:rPr>
      </w:pPr>
      <w:r>
        <w:rPr>
          <w:rFonts w:hint="eastAsia" w:ascii="宋体" w:hAnsi="宋体"/>
          <w:color w:val="auto"/>
          <w:sz w:val="24"/>
        </w:rPr>
        <w:t>3.6 一个供应商只能提交一个响应文件。报价授权代表人在同一个项目中只能接受一个供应商的委托参加报价。</w:t>
      </w:r>
    </w:p>
    <w:p w14:paraId="7D6B3035">
      <w:pPr>
        <w:pStyle w:val="2"/>
        <w:ind w:firstLine="480" w:firstLineChars="200"/>
        <w:rPr>
          <w:rFonts w:hint="eastAsia"/>
        </w:rPr>
      </w:pPr>
      <w:bookmarkStart w:id="55" w:name="_Toc26762"/>
      <w:r>
        <w:rPr>
          <w:rFonts w:hint="eastAsia" w:ascii="宋体" w:hAnsi="宋体" w:eastAsia="宋体"/>
          <w:b w:val="0"/>
          <w:bCs w:val="0"/>
          <w:color w:val="auto"/>
          <w:sz w:val="24"/>
          <w:highlight w:val="none"/>
        </w:rPr>
        <w:t>3.7 本项目不接受联合体投标。</w:t>
      </w:r>
      <w:bookmarkEnd w:id="55"/>
    </w:p>
    <w:p w14:paraId="10BEED61">
      <w:pPr>
        <w:spacing w:line="360" w:lineRule="auto"/>
        <w:rPr>
          <w:rFonts w:hint="eastAsia" w:ascii="宋体" w:hAnsi="宋体"/>
          <w:b/>
          <w:color w:val="auto"/>
          <w:sz w:val="24"/>
        </w:rPr>
      </w:pPr>
      <w:r>
        <w:rPr>
          <w:rFonts w:hint="eastAsia" w:ascii="宋体" w:hAnsi="宋体"/>
          <w:b/>
          <w:color w:val="auto"/>
          <w:sz w:val="24"/>
        </w:rPr>
        <w:t>4</w:t>
      </w:r>
      <w:r>
        <w:rPr>
          <w:rFonts w:ascii="宋体" w:hAnsi="宋体"/>
          <w:b/>
          <w:color w:val="auto"/>
          <w:sz w:val="24"/>
        </w:rPr>
        <w:t>.</w:t>
      </w:r>
      <w:r>
        <w:rPr>
          <w:rFonts w:hint="eastAsia" w:ascii="宋体" w:hAnsi="宋体"/>
          <w:b/>
          <w:color w:val="auto"/>
          <w:sz w:val="24"/>
        </w:rPr>
        <w:t xml:space="preserve"> 磋商费用</w:t>
      </w:r>
    </w:p>
    <w:p w14:paraId="7CADFE93">
      <w:pPr>
        <w:spacing w:line="360" w:lineRule="auto"/>
        <w:ind w:firstLine="465"/>
        <w:rPr>
          <w:rFonts w:hint="eastAsia" w:ascii="宋体" w:hAnsi="宋体"/>
          <w:color w:val="auto"/>
          <w:sz w:val="24"/>
        </w:rPr>
      </w:pPr>
      <w:r>
        <w:rPr>
          <w:rFonts w:ascii="宋体" w:hAnsi="宋体"/>
          <w:color w:val="auto"/>
          <w:sz w:val="24"/>
        </w:rPr>
        <w:t>4.1</w:t>
      </w:r>
      <w:r>
        <w:rPr>
          <w:rFonts w:hint="eastAsia" w:ascii="宋体" w:hAnsi="宋体"/>
          <w:color w:val="auto"/>
          <w:sz w:val="24"/>
        </w:rPr>
        <w:t xml:space="preserve"> 供应商自行承担其参加磋商所涉及的一切费用。</w:t>
      </w:r>
    </w:p>
    <w:p w14:paraId="4492C758">
      <w:pPr>
        <w:pStyle w:val="2"/>
        <w:spacing w:line="360" w:lineRule="auto"/>
        <w:rPr>
          <w:rFonts w:ascii="宋体" w:hAnsi="宋体"/>
          <w:color w:val="auto"/>
          <w:sz w:val="24"/>
          <w:szCs w:val="24"/>
        </w:rPr>
      </w:pPr>
      <w:bookmarkStart w:id="56" w:name="_Toc21501"/>
      <w:bookmarkStart w:id="57" w:name="_Toc17906230"/>
      <w:bookmarkStart w:id="58" w:name="_Toc29789"/>
      <w:r>
        <w:rPr>
          <w:rFonts w:hint="eastAsia" w:ascii="宋体" w:hAnsi="宋体"/>
          <w:color w:val="auto"/>
          <w:sz w:val="24"/>
          <w:szCs w:val="24"/>
        </w:rPr>
        <w:t>二、</w:t>
      </w:r>
      <w:r>
        <w:rPr>
          <w:rFonts w:ascii="宋体" w:hAnsi="宋体"/>
          <w:color w:val="auto"/>
          <w:sz w:val="24"/>
          <w:szCs w:val="24"/>
        </w:rPr>
        <w:t xml:space="preserve">  </w:t>
      </w:r>
      <w:r>
        <w:rPr>
          <w:rFonts w:hint="eastAsia" w:ascii="宋体" w:hAnsi="宋体"/>
          <w:color w:val="auto"/>
          <w:sz w:val="24"/>
          <w:szCs w:val="24"/>
        </w:rPr>
        <w:t>磋商文件</w:t>
      </w:r>
      <w:bookmarkEnd w:id="56"/>
      <w:bookmarkEnd w:id="57"/>
      <w:bookmarkEnd w:id="58"/>
    </w:p>
    <w:p w14:paraId="75163EF4">
      <w:pPr>
        <w:spacing w:line="360" w:lineRule="auto"/>
        <w:rPr>
          <w:rFonts w:hint="eastAsia" w:ascii="宋体" w:hAnsi="宋体"/>
          <w:b/>
          <w:color w:val="auto"/>
          <w:sz w:val="24"/>
        </w:rPr>
      </w:pPr>
      <w:r>
        <w:rPr>
          <w:rFonts w:hint="eastAsia" w:ascii="宋体" w:hAnsi="宋体"/>
          <w:b/>
          <w:color w:val="auto"/>
          <w:sz w:val="24"/>
        </w:rPr>
        <w:t>5</w:t>
      </w:r>
      <w:r>
        <w:rPr>
          <w:rFonts w:ascii="宋体" w:hAnsi="宋体"/>
          <w:b/>
          <w:color w:val="auto"/>
          <w:sz w:val="24"/>
        </w:rPr>
        <w:t xml:space="preserve">. </w:t>
      </w:r>
      <w:r>
        <w:rPr>
          <w:rFonts w:hint="eastAsia" w:ascii="宋体" w:hAnsi="宋体"/>
          <w:b/>
          <w:color w:val="auto"/>
          <w:sz w:val="24"/>
        </w:rPr>
        <w:t>磋商文件的组成</w:t>
      </w:r>
    </w:p>
    <w:p w14:paraId="1DA3BAA4">
      <w:pPr>
        <w:pStyle w:val="6"/>
        <w:snapToGrid w:val="0"/>
        <w:spacing w:line="360" w:lineRule="auto"/>
        <w:ind w:firstLine="480"/>
        <w:rPr>
          <w:rFonts w:hint="eastAsia" w:ascii="宋体" w:hAnsi="宋体"/>
          <w:color w:val="auto"/>
          <w:sz w:val="24"/>
        </w:rPr>
      </w:pPr>
      <w:r>
        <w:rPr>
          <w:rFonts w:hint="eastAsia" w:ascii="宋体" w:hAnsi="宋体"/>
          <w:color w:val="auto"/>
          <w:sz w:val="24"/>
        </w:rPr>
        <w:t xml:space="preserve">    5.1磋商文件用以阐明所需货物及服务磋商程序和合同主要条款。磋商文件由下述部分组成：</w:t>
      </w:r>
    </w:p>
    <w:p w14:paraId="40F8415D">
      <w:pPr>
        <w:pStyle w:val="6"/>
        <w:snapToGrid w:val="0"/>
        <w:spacing w:line="360" w:lineRule="auto"/>
        <w:ind w:firstLine="480"/>
        <w:rPr>
          <w:rFonts w:hint="eastAsia" w:ascii="宋体" w:hAnsi="宋体"/>
          <w:color w:val="auto"/>
          <w:sz w:val="24"/>
        </w:rPr>
      </w:pPr>
      <w:r>
        <w:rPr>
          <w:rFonts w:hint="eastAsia" w:ascii="宋体" w:hAnsi="宋体"/>
          <w:color w:val="auto"/>
          <w:sz w:val="24"/>
        </w:rPr>
        <w:t>⑴ 磋商邀请</w:t>
      </w:r>
    </w:p>
    <w:p w14:paraId="5128ED64">
      <w:pPr>
        <w:pStyle w:val="6"/>
        <w:snapToGrid w:val="0"/>
        <w:spacing w:line="360" w:lineRule="auto"/>
        <w:ind w:firstLine="480"/>
        <w:rPr>
          <w:rFonts w:hint="eastAsia" w:ascii="宋体" w:hAnsi="宋体"/>
          <w:color w:val="auto"/>
          <w:sz w:val="24"/>
        </w:rPr>
      </w:pPr>
      <w:r>
        <w:rPr>
          <w:rFonts w:hint="eastAsia" w:ascii="宋体" w:hAnsi="宋体"/>
          <w:color w:val="auto"/>
          <w:sz w:val="24"/>
        </w:rPr>
        <w:t xml:space="preserve">⑵ 供应商须知 </w:t>
      </w:r>
    </w:p>
    <w:p w14:paraId="14AC04FD">
      <w:pPr>
        <w:pStyle w:val="6"/>
        <w:snapToGrid w:val="0"/>
        <w:spacing w:line="360" w:lineRule="auto"/>
        <w:ind w:firstLine="480"/>
        <w:rPr>
          <w:rFonts w:hint="eastAsia" w:ascii="宋体" w:hAnsi="宋体"/>
          <w:color w:val="auto"/>
          <w:sz w:val="24"/>
        </w:rPr>
      </w:pPr>
      <w:r>
        <w:rPr>
          <w:rFonts w:hint="eastAsia" w:ascii="宋体" w:hAnsi="宋体"/>
          <w:color w:val="auto"/>
          <w:sz w:val="24"/>
        </w:rPr>
        <w:t>⑶ 磋商内容及要求</w:t>
      </w:r>
    </w:p>
    <w:p w14:paraId="58E2309A">
      <w:pPr>
        <w:pStyle w:val="6"/>
        <w:snapToGrid w:val="0"/>
        <w:spacing w:line="360" w:lineRule="auto"/>
        <w:ind w:firstLine="480"/>
        <w:rPr>
          <w:rFonts w:hint="eastAsia" w:ascii="宋体" w:hAnsi="宋体"/>
          <w:bCs/>
          <w:color w:val="auto"/>
          <w:sz w:val="24"/>
        </w:rPr>
      </w:pPr>
      <w:r>
        <w:rPr>
          <w:rFonts w:hint="eastAsia" w:ascii="宋体" w:hAnsi="宋体"/>
          <w:color w:val="auto"/>
          <w:sz w:val="24"/>
        </w:rPr>
        <w:t xml:space="preserve">⑷ </w:t>
      </w:r>
      <w:r>
        <w:rPr>
          <w:rFonts w:hint="eastAsia" w:ascii="宋体" w:hAnsi="宋体"/>
          <w:bCs/>
          <w:color w:val="auto"/>
          <w:sz w:val="24"/>
        </w:rPr>
        <w:t xml:space="preserve">合同格式 </w:t>
      </w:r>
    </w:p>
    <w:p w14:paraId="5314A91F">
      <w:pPr>
        <w:pStyle w:val="6"/>
        <w:snapToGrid w:val="0"/>
        <w:spacing w:line="360" w:lineRule="auto"/>
        <w:ind w:firstLine="480"/>
        <w:rPr>
          <w:rFonts w:hint="eastAsia" w:ascii="宋体" w:hAnsi="宋体"/>
          <w:color w:val="auto"/>
          <w:sz w:val="24"/>
        </w:rPr>
      </w:pPr>
      <w:r>
        <w:rPr>
          <w:rFonts w:hint="eastAsia" w:ascii="宋体" w:hAnsi="宋体"/>
          <w:color w:val="auto"/>
          <w:sz w:val="24"/>
        </w:rPr>
        <w:t>⑸ 响应文件格式</w:t>
      </w:r>
    </w:p>
    <w:p w14:paraId="5DB0DB52">
      <w:pPr>
        <w:spacing w:line="360" w:lineRule="auto"/>
        <w:rPr>
          <w:rFonts w:hint="eastAsia" w:ascii="宋体" w:hAnsi="宋体"/>
          <w:b/>
          <w:color w:val="auto"/>
          <w:sz w:val="24"/>
        </w:rPr>
      </w:pPr>
      <w:r>
        <w:rPr>
          <w:rFonts w:hint="eastAsia" w:ascii="宋体" w:hAnsi="宋体"/>
          <w:b/>
          <w:color w:val="auto"/>
          <w:sz w:val="24"/>
        </w:rPr>
        <w:t>6. 磋商文件的澄清、询问、质疑</w:t>
      </w:r>
    </w:p>
    <w:p w14:paraId="4BCAD4AC">
      <w:pPr>
        <w:pStyle w:val="6"/>
        <w:snapToGrid w:val="0"/>
        <w:spacing w:line="360" w:lineRule="auto"/>
        <w:ind w:firstLine="480"/>
        <w:outlineLvl w:val="0"/>
        <w:rPr>
          <w:rFonts w:hint="eastAsia" w:ascii="宋体" w:hAnsi="宋体"/>
          <w:bCs/>
          <w:color w:val="auto"/>
          <w:sz w:val="24"/>
        </w:rPr>
      </w:pPr>
      <w:bookmarkStart w:id="59" w:name="_Toc484763861"/>
      <w:bookmarkStart w:id="60" w:name="_Toc321391847"/>
      <w:bookmarkStart w:id="61" w:name="_Toc464204044"/>
      <w:bookmarkStart w:id="62" w:name="_Toc321913871"/>
      <w:bookmarkStart w:id="63" w:name="_Toc17906231"/>
      <w:bookmarkStart w:id="64" w:name="_Toc484764519"/>
      <w:bookmarkStart w:id="65" w:name="_Toc18143"/>
      <w:bookmarkStart w:id="66" w:name="_Toc321913785"/>
      <w:bookmarkStart w:id="67" w:name="_Toc169"/>
      <w:bookmarkStart w:id="68" w:name="_Toc416343247"/>
      <w:bookmarkStart w:id="69" w:name="_Toc436215193"/>
      <w:r>
        <w:rPr>
          <w:rFonts w:hint="eastAsia" w:ascii="宋体" w:hAnsi="宋体"/>
          <w:color w:val="auto"/>
          <w:sz w:val="24"/>
        </w:rPr>
        <w:t xml:space="preserve">6.1 </w:t>
      </w:r>
      <w:r>
        <w:rPr>
          <w:rFonts w:hint="eastAsia" w:ascii="宋体" w:hAnsi="宋体"/>
          <w:bCs/>
          <w:color w:val="auto"/>
          <w:sz w:val="24"/>
        </w:rPr>
        <w:t>供应商对磋商文件如有疑点，可要求澄清，</w:t>
      </w:r>
      <w:r>
        <w:rPr>
          <w:rFonts w:hint="eastAsia" w:ascii="宋体" w:hAnsi="宋体"/>
          <w:color w:val="auto"/>
          <w:sz w:val="24"/>
        </w:rPr>
        <w:t>以书面形式送达招标代理机构</w:t>
      </w:r>
      <w:r>
        <w:rPr>
          <w:rFonts w:hint="eastAsia" w:ascii="宋体" w:hAnsi="宋体"/>
          <w:bCs/>
          <w:color w:val="auto"/>
          <w:sz w:val="24"/>
        </w:rPr>
        <w:t>。</w:t>
      </w:r>
      <w:bookmarkEnd w:id="59"/>
      <w:bookmarkEnd w:id="60"/>
      <w:bookmarkEnd w:id="61"/>
      <w:bookmarkEnd w:id="62"/>
      <w:bookmarkEnd w:id="63"/>
      <w:bookmarkEnd w:id="64"/>
      <w:bookmarkEnd w:id="65"/>
      <w:bookmarkEnd w:id="66"/>
      <w:bookmarkEnd w:id="67"/>
      <w:bookmarkEnd w:id="68"/>
      <w:bookmarkEnd w:id="69"/>
    </w:p>
    <w:p w14:paraId="0CB9A28F">
      <w:pPr>
        <w:pStyle w:val="6"/>
        <w:snapToGrid w:val="0"/>
        <w:spacing w:line="360" w:lineRule="auto"/>
        <w:ind w:firstLine="482"/>
        <w:outlineLvl w:val="0"/>
        <w:rPr>
          <w:rFonts w:hint="eastAsia" w:ascii="宋体" w:hAnsi="宋体"/>
          <w:bCs/>
          <w:color w:val="auto"/>
          <w:sz w:val="24"/>
        </w:rPr>
      </w:pPr>
      <w:bookmarkStart w:id="70" w:name="_Toc17906232"/>
      <w:bookmarkStart w:id="71" w:name="_Toc25967"/>
      <w:bookmarkStart w:id="72" w:name="_Toc7191"/>
      <w:r>
        <w:rPr>
          <w:rFonts w:hint="eastAsia" w:ascii="宋体" w:hAnsi="宋体"/>
          <w:b/>
          <w:color w:val="auto"/>
          <w:sz w:val="24"/>
        </w:rPr>
        <w:t>6.2询问、质疑</w:t>
      </w:r>
      <w:bookmarkEnd w:id="70"/>
      <w:bookmarkEnd w:id="71"/>
      <w:bookmarkEnd w:id="72"/>
    </w:p>
    <w:p w14:paraId="3DAD3446">
      <w:pPr>
        <w:pStyle w:val="6"/>
        <w:snapToGrid w:val="0"/>
        <w:spacing w:line="360" w:lineRule="auto"/>
        <w:ind w:firstLine="480"/>
        <w:outlineLvl w:val="0"/>
        <w:rPr>
          <w:rFonts w:hint="eastAsia" w:ascii="宋体" w:hAnsi="宋体"/>
          <w:color w:val="auto"/>
          <w:sz w:val="24"/>
        </w:rPr>
      </w:pPr>
      <w:bookmarkStart w:id="73" w:name="_Toc17906233"/>
      <w:bookmarkStart w:id="74" w:name="_Toc26606"/>
      <w:bookmarkStart w:id="75" w:name="_Toc27176"/>
      <w:r>
        <w:rPr>
          <w:rFonts w:hint="eastAsia" w:ascii="宋体" w:hAnsi="宋体"/>
          <w:color w:val="auto"/>
          <w:sz w:val="24"/>
        </w:rPr>
        <w:t>6.2.1</w:t>
      </w:r>
      <w:r>
        <w:rPr>
          <w:rFonts w:hint="eastAsia" w:ascii="宋体" w:hAnsi="宋体"/>
          <w:bCs/>
          <w:color w:val="auto"/>
          <w:sz w:val="24"/>
        </w:rPr>
        <w:t>供应商</w:t>
      </w:r>
      <w:r>
        <w:rPr>
          <w:rFonts w:ascii="宋体" w:hAnsi="宋体" w:cs="宋体"/>
          <w:color w:val="auto"/>
          <w:kern w:val="0"/>
          <w:sz w:val="24"/>
        </w:rPr>
        <w:t>对本次采购活动的有关事项若有疑问，可向福建立勤项目管理有限公司提出询问。</w:t>
      </w:r>
      <w:bookmarkEnd w:id="73"/>
      <w:bookmarkEnd w:id="74"/>
      <w:bookmarkEnd w:id="75"/>
      <w:r>
        <w:rPr>
          <w:rFonts w:hint="eastAsia" w:ascii="宋体" w:hAnsi="宋体"/>
          <w:color w:val="auto"/>
          <w:sz w:val="24"/>
        </w:rPr>
        <w:t xml:space="preserve"> </w:t>
      </w:r>
    </w:p>
    <w:p w14:paraId="1E33F883">
      <w:pPr>
        <w:pStyle w:val="6"/>
        <w:snapToGrid w:val="0"/>
        <w:spacing w:line="360" w:lineRule="auto"/>
        <w:ind w:firstLine="480"/>
        <w:outlineLvl w:val="0"/>
        <w:rPr>
          <w:rFonts w:hint="eastAsia" w:ascii="宋体" w:hAnsi="宋体"/>
          <w:color w:val="auto"/>
          <w:sz w:val="24"/>
        </w:rPr>
      </w:pPr>
      <w:bookmarkStart w:id="76" w:name="_Toc17906234"/>
      <w:bookmarkStart w:id="77" w:name="_Toc15091"/>
      <w:bookmarkStart w:id="78" w:name="_Toc14960"/>
      <w:r>
        <w:rPr>
          <w:rFonts w:hint="eastAsia" w:ascii="宋体" w:hAnsi="宋体"/>
          <w:color w:val="auto"/>
          <w:sz w:val="24"/>
        </w:rPr>
        <w:t>6.2.2质疑时效期间（</w:t>
      </w:r>
      <w:r>
        <w:rPr>
          <w:rFonts w:ascii="宋体" w:hAnsi="宋体" w:cs="宋体"/>
          <w:color w:val="auto"/>
          <w:kern w:val="0"/>
          <w:sz w:val="24"/>
        </w:rPr>
        <w:t>针对同一采购程序环节的质疑应在</w:t>
      </w:r>
      <w:r>
        <w:rPr>
          <w:rFonts w:hint="eastAsia" w:ascii="宋体" w:hAnsi="宋体"/>
          <w:color w:val="auto"/>
          <w:sz w:val="24"/>
        </w:rPr>
        <w:t>法定质疑期内</w:t>
      </w:r>
      <w:r>
        <w:rPr>
          <w:rFonts w:ascii="宋体" w:hAnsi="宋体" w:cs="宋体"/>
          <w:color w:val="auto"/>
          <w:kern w:val="0"/>
          <w:sz w:val="24"/>
        </w:rPr>
        <w:t>一次性提出</w:t>
      </w:r>
      <w:r>
        <w:rPr>
          <w:rFonts w:hint="eastAsia" w:ascii="宋体" w:hAnsi="宋体" w:cs="宋体"/>
          <w:color w:val="auto"/>
          <w:kern w:val="0"/>
          <w:sz w:val="24"/>
        </w:rPr>
        <w:t>）：</w:t>
      </w:r>
      <w:bookmarkEnd w:id="76"/>
      <w:bookmarkEnd w:id="77"/>
      <w:bookmarkEnd w:id="78"/>
    </w:p>
    <w:p w14:paraId="1B72A8D5">
      <w:pPr>
        <w:pStyle w:val="6"/>
        <w:snapToGrid w:val="0"/>
        <w:spacing w:line="360" w:lineRule="auto"/>
        <w:ind w:firstLine="540" w:firstLineChars="225"/>
        <w:outlineLvl w:val="0"/>
        <w:rPr>
          <w:rFonts w:hint="eastAsia" w:ascii="宋体" w:hAnsi="宋体"/>
          <w:color w:val="auto"/>
          <w:sz w:val="24"/>
        </w:rPr>
      </w:pPr>
      <w:bookmarkStart w:id="79" w:name="_Toc27400"/>
      <w:bookmarkStart w:id="80" w:name="_Toc12187"/>
      <w:bookmarkStart w:id="81" w:name="_Toc17906235"/>
      <w:r>
        <w:rPr>
          <w:rFonts w:hint="eastAsia" w:ascii="宋体" w:hAnsi="宋体"/>
          <w:color w:val="auto"/>
          <w:sz w:val="24"/>
        </w:rPr>
        <w:t>①在竞争性磋商采购公告期限内（发布采购公告之日起3个工作日内）：自购买磋商文件之日起7个工作日内向福建立勤项目管理有限公司提出，购买磋商文件之日：现场办理购买磋商文件事宜的，以书面报名登记日期为准；采用邮件方式办理购买磋商文件事宜的，以转账相应的标书款至我司账户的到账时间为准。</w:t>
      </w:r>
      <w:bookmarkEnd w:id="79"/>
      <w:bookmarkEnd w:id="80"/>
      <w:bookmarkEnd w:id="81"/>
    </w:p>
    <w:p w14:paraId="423D8CCB">
      <w:pPr>
        <w:pStyle w:val="6"/>
        <w:snapToGrid w:val="0"/>
        <w:spacing w:line="360" w:lineRule="auto"/>
        <w:ind w:firstLine="540" w:firstLineChars="225"/>
        <w:outlineLvl w:val="0"/>
        <w:rPr>
          <w:rFonts w:hint="eastAsia" w:ascii="宋体" w:hAnsi="宋体"/>
          <w:color w:val="auto"/>
          <w:sz w:val="24"/>
        </w:rPr>
      </w:pPr>
      <w:bookmarkStart w:id="82" w:name="_Toc23025"/>
      <w:bookmarkStart w:id="83" w:name="_Toc17906236"/>
      <w:bookmarkStart w:id="84" w:name="_Toc14616"/>
      <w:r>
        <w:rPr>
          <w:rFonts w:hint="eastAsia" w:ascii="宋体" w:hAnsi="宋体"/>
          <w:color w:val="auto"/>
          <w:sz w:val="24"/>
        </w:rPr>
        <w:t>②在采购公告期限截止后至磋商文件提供期限届满前的期间内（磋商文件提供期限长于采购公告期限的）：自采购公告期限届满之日起7个工作日内向福建立勤项目管理有限公司提出。</w:t>
      </w:r>
      <w:bookmarkEnd w:id="82"/>
      <w:bookmarkEnd w:id="83"/>
      <w:bookmarkEnd w:id="84"/>
    </w:p>
    <w:p w14:paraId="2B7A6783">
      <w:pPr>
        <w:pStyle w:val="6"/>
        <w:snapToGrid w:val="0"/>
        <w:spacing w:line="360" w:lineRule="auto"/>
        <w:ind w:firstLine="540" w:firstLineChars="225"/>
        <w:outlineLvl w:val="0"/>
        <w:rPr>
          <w:rFonts w:hint="eastAsia" w:ascii="宋体" w:hAnsi="宋体"/>
          <w:color w:val="auto"/>
          <w:sz w:val="24"/>
        </w:rPr>
      </w:pPr>
      <w:bookmarkStart w:id="85" w:name="_Toc3486"/>
      <w:bookmarkStart w:id="86" w:name="_Toc17906237"/>
      <w:bookmarkStart w:id="87" w:name="_Toc8939"/>
      <w:r>
        <w:rPr>
          <w:rFonts w:hint="eastAsia" w:ascii="宋体" w:hAnsi="宋体"/>
          <w:color w:val="auto"/>
          <w:sz w:val="24"/>
        </w:rPr>
        <w:t>③供应商对成交结果提出质疑的，请于成交公告期限届满之日（发布成交公告之日起1个工作日）起7个工作日内提出。</w:t>
      </w:r>
      <w:bookmarkEnd w:id="85"/>
      <w:bookmarkEnd w:id="86"/>
      <w:bookmarkEnd w:id="87"/>
    </w:p>
    <w:p w14:paraId="27127BAE">
      <w:pPr>
        <w:pStyle w:val="6"/>
        <w:snapToGrid w:val="0"/>
        <w:spacing w:line="360" w:lineRule="auto"/>
        <w:ind w:firstLine="480"/>
        <w:outlineLvl w:val="0"/>
        <w:rPr>
          <w:rFonts w:hint="eastAsia" w:ascii="宋体" w:hAnsi="宋体"/>
          <w:b/>
          <w:color w:val="auto"/>
          <w:sz w:val="24"/>
        </w:rPr>
      </w:pPr>
      <w:bookmarkStart w:id="88" w:name="_Toc23706"/>
      <w:bookmarkStart w:id="89" w:name="_Toc17906238"/>
      <w:bookmarkStart w:id="90" w:name="_Toc10750"/>
      <w:r>
        <w:rPr>
          <w:rFonts w:hint="eastAsia" w:ascii="宋体" w:hAnsi="宋体"/>
          <w:color w:val="auto"/>
          <w:sz w:val="24"/>
        </w:rPr>
        <w:t>5.3供应商提出质疑应当提交</w:t>
      </w:r>
      <w:r>
        <w:rPr>
          <w:rFonts w:hint="eastAsia" w:ascii="宋体" w:hAnsi="宋体"/>
          <w:b/>
          <w:color w:val="auto"/>
          <w:sz w:val="24"/>
        </w:rPr>
        <w:t>质疑函和必要的证明材料</w:t>
      </w:r>
      <w:r>
        <w:rPr>
          <w:rFonts w:hint="eastAsia" w:ascii="宋体" w:hAnsi="宋体"/>
          <w:color w:val="auto"/>
          <w:sz w:val="24"/>
        </w:rPr>
        <w:t>。质疑函应当包括下列内容（</w:t>
      </w:r>
      <w:r>
        <w:rPr>
          <w:rFonts w:hint="eastAsia" w:ascii="宋体" w:hAnsi="宋体"/>
          <w:b/>
          <w:color w:val="auto"/>
          <w:sz w:val="24"/>
        </w:rPr>
        <w:t>质疑函范本附</w:t>
      </w:r>
      <w:r>
        <w:rPr>
          <w:rFonts w:hint="eastAsia" w:ascii="宋体" w:hAnsi="宋体"/>
          <w:b/>
          <w:color w:val="auto"/>
          <w:sz w:val="24"/>
          <w:lang w:eastAsia="zh-CN"/>
        </w:rPr>
        <w:t>竞争性磋商文件</w:t>
      </w:r>
      <w:r>
        <w:rPr>
          <w:rFonts w:hint="eastAsia" w:ascii="宋体" w:hAnsi="宋体"/>
          <w:b/>
          <w:color w:val="auto"/>
          <w:sz w:val="24"/>
        </w:rPr>
        <w:t>第五章响应文件格式后）</w:t>
      </w:r>
      <w:r>
        <w:rPr>
          <w:rFonts w:hint="eastAsia" w:ascii="宋体" w:hAnsi="宋体"/>
          <w:color w:val="auto"/>
          <w:sz w:val="24"/>
        </w:rPr>
        <w:t>：（一）供应商的姓名或者名称、地址、邮编、</w:t>
      </w:r>
      <w:r>
        <w:rPr>
          <w:rFonts w:hint="eastAsia" w:ascii="宋体" w:hAnsi="宋体"/>
          <w:b/>
          <w:color w:val="auto"/>
          <w:sz w:val="24"/>
        </w:rPr>
        <w:t>电子邮箱</w:t>
      </w:r>
      <w:r>
        <w:rPr>
          <w:rFonts w:hint="eastAsia" w:ascii="宋体" w:hAnsi="宋体"/>
          <w:color w:val="auto"/>
          <w:sz w:val="24"/>
        </w:rPr>
        <w:t>、联系人及联系电话；（二）质疑项目的名称、编号；（三）具体、明确的质疑事项和与质疑事项相关的请求；（四）事实依据；（五）必要的法律依据；（六）提出质疑的日期。质疑函须同时附</w:t>
      </w:r>
      <w:r>
        <w:rPr>
          <w:rFonts w:hint="eastAsia" w:ascii="宋体" w:hAnsi="宋体"/>
          <w:b/>
          <w:color w:val="auto"/>
          <w:sz w:val="24"/>
          <w:u w:val="single"/>
        </w:rPr>
        <w:t>购买磋商文件后代理机构开具的发票或收据复印件</w:t>
      </w:r>
      <w:r>
        <w:rPr>
          <w:rFonts w:hint="eastAsia" w:ascii="宋体" w:hAnsi="宋体"/>
          <w:b/>
          <w:color w:val="auto"/>
          <w:sz w:val="24"/>
          <w:u w:val="single"/>
          <w:lang w:eastAsia="zh-CN"/>
        </w:rPr>
        <w:t>（</w:t>
      </w:r>
      <w:r>
        <w:rPr>
          <w:rFonts w:hint="eastAsia" w:ascii="宋体" w:hAnsi="宋体"/>
          <w:b/>
          <w:color w:val="auto"/>
          <w:sz w:val="24"/>
          <w:u w:val="single"/>
          <w:lang w:val="en-US" w:eastAsia="zh-CN"/>
        </w:rPr>
        <w:t>若有</w:t>
      </w:r>
      <w:r>
        <w:rPr>
          <w:rFonts w:hint="eastAsia" w:ascii="宋体" w:hAnsi="宋体"/>
          <w:b/>
          <w:color w:val="auto"/>
          <w:sz w:val="24"/>
          <w:u w:val="single"/>
          <w:lang w:eastAsia="zh-CN"/>
        </w:rPr>
        <w:t>）</w:t>
      </w:r>
      <w:r>
        <w:rPr>
          <w:rFonts w:hint="eastAsia" w:ascii="宋体" w:hAnsi="宋体"/>
          <w:b/>
          <w:color w:val="auto"/>
          <w:sz w:val="24"/>
        </w:rPr>
        <w:t>、单位负责人授权委托书、单位负责人及委托人身份证复印件和营业执照等复印件。提供的质疑函和证明材料均应以书面形式（即有效签署的原件并加盖供应商单位公章，一式两份，另附一份内容相同的word电子文档）送达招标代理机构。质疑函的落款时间须为提交质疑函当天的时间。逾期或未按要求提交的质疑均不予受理。</w:t>
      </w:r>
      <w:bookmarkEnd w:id="88"/>
      <w:bookmarkEnd w:id="89"/>
      <w:bookmarkEnd w:id="90"/>
    </w:p>
    <w:p w14:paraId="6E439C72">
      <w:pPr>
        <w:spacing w:line="360" w:lineRule="auto"/>
        <w:ind w:firstLine="480" w:firstLineChars="200"/>
        <w:rPr>
          <w:rFonts w:hint="eastAsia" w:ascii="宋体" w:hAnsi="宋体"/>
          <w:color w:val="auto"/>
          <w:sz w:val="24"/>
        </w:rPr>
      </w:pPr>
      <w:r>
        <w:rPr>
          <w:rFonts w:hint="eastAsia" w:ascii="宋体" w:hAnsi="宋体"/>
          <w:color w:val="auto"/>
          <w:sz w:val="24"/>
        </w:rPr>
        <w:t>注：(1)接收质疑函的方式：书面原件形式；(2)接收质疑函的联系部门：项目部；(3)接收质疑函的联系方式及通讯地址：详见磋商文件第一章“9、招标代理机构联系方式”。</w:t>
      </w:r>
    </w:p>
    <w:p w14:paraId="2FFD3F3E">
      <w:pPr>
        <w:spacing w:line="360" w:lineRule="auto"/>
        <w:outlineLvl w:val="1"/>
        <w:rPr>
          <w:rFonts w:hint="eastAsia" w:ascii="宋体" w:hAnsi="宋体"/>
          <w:b/>
          <w:bCs/>
          <w:color w:val="auto"/>
          <w:sz w:val="24"/>
        </w:rPr>
      </w:pPr>
      <w:bookmarkStart w:id="91" w:name="_Toc12424"/>
      <w:bookmarkStart w:id="92" w:name="_Toc84"/>
      <w:r>
        <w:rPr>
          <w:rFonts w:hint="eastAsia" w:ascii="宋体" w:hAnsi="宋体"/>
          <w:b/>
          <w:bCs/>
          <w:color w:val="auto"/>
          <w:sz w:val="24"/>
        </w:rPr>
        <w:t>7. 磋商文件的修改</w:t>
      </w:r>
      <w:bookmarkEnd w:id="91"/>
      <w:bookmarkEnd w:id="92"/>
    </w:p>
    <w:p w14:paraId="528BEF3C">
      <w:pPr>
        <w:pStyle w:val="6"/>
        <w:snapToGrid w:val="0"/>
        <w:spacing w:line="360" w:lineRule="auto"/>
        <w:ind w:firstLineChars="175"/>
        <w:outlineLvl w:val="0"/>
        <w:rPr>
          <w:rFonts w:hint="eastAsia" w:ascii="宋体" w:hAnsi="宋体"/>
          <w:bCs/>
          <w:color w:val="auto"/>
          <w:sz w:val="24"/>
        </w:rPr>
      </w:pPr>
      <w:bookmarkStart w:id="93" w:name="_Toc484763862"/>
      <w:bookmarkStart w:id="94" w:name="_Toc17906239"/>
      <w:bookmarkStart w:id="95" w:name="_Toc436215194"/>
      <w:bookmarkStart w:id="96" w:name="_Toc464204045"/>
      <w:bookmarkStart w:id="97" w:name="_Toc321391848"/>
      <w:bookmarkStart w:id="98" w:name="_Toc321913786"/>
      <w:bookmarkStart w:id="99" w:name="_Toc17889"/>
      <w:bookmarkStart w:id="100" w:name="_Toc416343248"/>
      <w:bookmarkStart w:id="101" w:name="_Toc484764520"/>
      <w:bookmarkStart w:id="102" w:name="_Toc321913872"/>
      <w:bookmarkStart w:id="103" w:name="_Toc15997"/>
      <w:r>
        <w:rPr>
          <w:rFonts w:hint="eastAsia" w:ascii="宋体" w:hAnsi="宋体"/>
          <w:bCs/>
          <w:color w:val="auto"/>
          <w:sz w:val="24"/>
        </w:rPr>
        <w:t xml:space="preserve">7.1 </w:t>
      </w:r>
      <w:r>
        <w:rPr>
          <w:rFonts w:hint="eastAsia" w:ascii="宋体" w:hAnsi="宋体"/>
          <w:color w:val="auto"/>
          <w:sz w:val="24"/>
        </w:rPr>
        <w:t>招标代理机构</w:t>
      </w:r>
      <w:r>
        <w:rPr>
          <w:rFonts w:hint="eastAsia" w:ascii="宋体" w:hAnsi="宋体"/>
          <w:bCs/>
          <w:color w:val="auto"/>
          <w:sz w:val="24"/>
        </w:rPr>
        <w:t>可主动或依供应商要求澄清的问题修改磋商文件，澄清或修改的内容可能影响磋商文件编制的，应当在提交响应文件截止日期至少5个日历日前（如至原定截止时间不足5个日历日，则顺延提交响应文件的截止时间）</w:t>
      </w:r>
      <w:r>
        <w:rPr>
          <w:rFonts w:hint="eastAsia" w:ascii="宋体" w:hAnsi="宋体"/>
          <w:color w:val="auto"/>
          <w:sz w:val="24"/>
        </w:rPr>
        <w:t>在原信息发布的媒体上发布更正公告，</w:t>
      </w:r>
      <w:r>
        <w:rPr>
          <w:rFonts w:hint="eastAsia" w:ascii="宋体" w:hAnsi="宋体"/>
          <w:bCs/>
          <w:color w:val="auto"/>
          <w:sz w:val="24"/>
        </w:rPr>
        <w:t>并以书面形式通知所有供应商，供应商在收到该通知后应立即以电报或传真的形式予以确认。</w:t>
      </w:r>
      <w:r>
        <w:rPr>
          <w:rFonts w:hint="eastAsia" w:ascii="宋体" w:hAnsi="宋体"/>
          <w:color w:val="auto"/>
          <w:sz w:val="24"/>
        </w:rPr>
        <w:t>该修改内容为磋商文件的组成部分，对供应商具有约束力。</w:t>
      </w:r>
      <w:bookmarkEnd w:id="93"/>
      <w:bookmarkEnd w:id="94"/>
      <w:bookmarkEnd w:id="95"/>
      <w:bookmarkEnd w:id="96"/>
      <w:bookmarkEnd w:id="97"/>
      <w:bookmarkEnd w:id="98"/>
      <w:bookmarkEnd w:id="99"/>
      <w:bookmarkEnd w:id="100"/>
      <w:bookmarkEnd w:id="101"/>
      <w:bookmarkEnd w:id="102"/>
      <w:bookmarkEnd w:id="103"/>
    </w:p>
    <w:p w14:paraId="3F0DDBE7">
      <w:pPr>
        <w:pStyle w:val="2"/>
        <w:spacing w:line="360" w:lineRule="auto"/>
        <w:rPr>
          <w:rFonts w:ascii="宋体" w:hAnsi="宋体"/>
          <w:color w:val="auto"/>
          <w:sz w:val="24"/>
          <w:szCs w:val="24"/>
        </w:rPr>
      </w:pPr>
      <w:bookmarkStart w:id="104" w:name="_Toc31425"/>
      <w:bookmarkStart w:id="105" w:name="_Toc4436"/>
      <w:bookmarkStart w:id="106" w:name="_Toc17906240"/>
      <w:r>
        <w:rPr>
          <w:rFonts w:hint="eastAsia" w:ascii="宋体" w:hAnsi="宋体"/>
          <w:color w:val="auto"/>
          <w:sz w:val="24"/>
          <w:szCs w:val="24"/>
        </w:rPr>
        <w:t>三、  响应文件的编写</w:t>
      </w:r>
      <w:bookmarkEnd w:id="104"/>
      <w:bookmarkEnd w:id="105"/>
      <w:bookmarkEnd w:id="106"/>
    </w:p>
    <w:p w14:paraId="6A6D6881">
      <w:pPr>
        <w:spacing w:line="360" w:lineRule="auto"/>
        <w:rPr>
          <w:rFonts w:hint="eastAsia" w:ascii="宋体" w:hAnsi="宋体"/>
          <w:b/>
          <w:color w:val="auto"/>
          <w:sz w:val="24"/>
        </w:rPr>
      </w:pPr>
      <w:r>
        <w:rPr>
          <w:rFonts w:hint="eastAsia" w:ascii="宋体" w:hAnsi="宋体"/>
          <w:b/>
          <w:color w:val="auto"/>
          <w:sz w:val="24"/>
        </w:rPr>
        <w:t>8</w:t>
      </w:r>
      <w:r>
        <w:rPr>
          <w:rFonts w:ascii="宋体" w:hAnsi="宋体"/>
          <w:b/>
          <w:color w:val="auto"/>
          <w:sz w:val="24"/>
        </w:rPr>
        <w:t xml:space="preserve">. </w:t>
      </w:r>
      <w:r>
        <w:rPr>
          <w:rFonts w:hint="eastAsia" w:ascii="宋体" w:hAnsi="宋体"/>
          <w:b/>
          <w:color w:val="auto"/>
          <w:sz w:val="24"/>
        </w:rPr>
        <w:t>要求</w:t>
      </w:r>
    </w:p>
    <w:p w14:paraId="0E4A0D7B">
      <w:pPr>
        <w:spacing w:line="360" w:lineRule="auto"/>
        <w:rPr>
          <w:rFonts w:hint="eastAsia" w:ascii="宋体" w:hAnsi="宋体"/>
          <w:color w:val="auto"/>
          <w:sz w:val="24"/>
        </w:rPr>
      </w:pPr>
      <w:r>
        <w:rPr>
          <w:rFonts w:hint="eastAsia" w:ascii="宋体" w:hAnsi="宋体"/>
          <w:color w:val="auto"/>
          <w:sz w:val="24"/>
        </w:rPr>
        <w:t xml:space="preserve">    8.1供应商应仔细阅读磋商文件的所有内容，按照磋商文件的要求提交响应文件。响应文件应对磋商文件的要求作出实质性响应，并保证所提供的全部资料的真实性，否则其报价将被拒绝。</w:t>
      </w:r>
    </w:p>
    <w:p w14:paraId="1B237630">
      <w:pPr>
        <w:tabs>
          <w:tab w:val="left" w:pos="900"/>
        </w:tabs>
        <w:spacing w:line="360" w:lineRule="auto"/>
        <w:ind w:firstLine="480" w:firstLineChars="200"/>
        <w:rPr>
          <w:rFonts w:hint="eastAsia" w:ascii="宋体" w:hAnsi="宋体"/>
          <w:color w:val="auto"/>
          <w:sz w:val="24"/>
        </w:rPr>
      </w:pPr>
      <w:r>
        <w:rPr>
          <w:rFonts w:hint="eastAsia" w:ascii="宋体" w:hAnsi="宋体"/>
          <w:color w:val="auto"/>
          <w:sz w:val="24"/>
        </w:rPr>
        <w:t>8.2 除非有另外的规定，供应商可对磋商项目一览表所列的全部</w:t>
      </w:r>
      <w:r>
        <w:rPr>
          <w:rFonts w:hint="eastAsia" w:ascii="宋体" w:hAnsi="宋体"/>
          <w:color w:val="auto"/>
          <w:sz w:val="24"/>
          <w:lang w:eastAsia="zh-CN"/>
        </w:rPr>
        <w:t>采购包</w:t>
      </w:r>
      <w:r>
        <w:rPr>
          <w:rFonts w:hint="eastAsia" w:ascii="宋体" w:hAnsi="宋体"/>
          <w:color w:val="auto"/>
          <w:sz w:val="24"/>
        </w:rPr>
        <w:t>或部分</w:t>
      </w:r>
      <w:r>
        <w:rPr>
          <w:rFonts w:hint="eastAsia" w:ascii="宋体" w:hAnsi="宋体"/>
          <w:color w:val="auto"/>
          <w:sz w:val="24"/>
          <w:lang w:eastAsia="zh-CN"/>
        </w:rPr>
        <w:t>采购包</w:t>
      </w:r>
      <w:r>
        <w:rPr>
          <w:rFonts w:hint="eastAsia" w:ascii="宋体" w:hAnsi="宋体"/>
          <w:color w:val="auto"/>
          <w:sz w:val="24"/>
        </w:rPr>
        <w:t>进行报价。招标代理机构不接受有任何可选择性的报价，每一种货物（服务）只能有一个报价。</w:t>
      </w:r>
    </w:p>
    <w:p w14:paraId="3E693558">
      <w:pPr>
        <w:spacing w:line="360" w:lineRule="auto"/>
        <w:rPr>
          <w:rFonts w:hint="eastAsia" w:ascii="宋体" w:hAnsi="宋体"/>
          <w:b/>
          <w:color w:val="auto"/>
          <w:sz w:val="24"/>
        </w:rPr>
      </w:pPr>
      <w:r>
        <w:rPr>
          <w:rFonts w:hint="eastAsia" w:ascii="宋体" w:hAnsi="宋体"/>
          <w:b/>
          <w:color w:val="auto"/>
          <w:sz w:val="24"/>
        </w:rPr>
        <w:t>9</w:t>
      </w:r>
      <w:r>
        <w:rPr>
          <w:rFonts w:ascii="宋体" w:hAnsi="宋体"/>
          <w:b/>
          <w:color w:val="auto"/>
          <w:sz w:val="24"/>
        </w:rPr>
        <w:t xml:space="preserve">. </w:t>
      </w:r>
      <w:r>
        <w:rPr>
          <w:rFonts w:hint="eastAsia" w:ascii="宋体" w:hAnsi="宋体"/>
          <w:b/>
          <w:color w:val="auto"/>
          <w:sz w:val="24"/>
        </w:rPr>
        <w:t>响应文件语言</w:t>
      </w:r>
    </w:p>
    <w:p w14:paraId="22532B5D">
      <w:pPr>
        <w:spacing w:line="360" w:lineRule="auto"/>
        <w:ind w:firstLine="480" w:firstLineChars="200"/>
        <w:rPr>
          <w:rFonts w:hint="eastAsia" w:ascii="宋体" w:hAnsi="宋体"/>
          <w:color w:val="auto"/>
          <w:sz w:val="24"/>
        </w:rPr>
      </w:pPr>
      <w:r>
        <w:rPr>
          <w:rFonts w:hint="eastAsia" w:ascii="宋体" w:hAnsi="宋体"/>
          <w:color w:val="auto"/>
          <w:sz w:val="24"/>
        </w:rPr>
        <w:t>9.1响应文件应用中文书写。</w:t>
      </w:r>
      <w:r>
        <w:rPr>
          <w:rFonts w:hint="eastAsia" w:ascii="宋体" w:hAnsi="宋体"/>
          <w:b/>
          <w:color w:val="auto"/>
          <w:sz w:val="24"/>
        </w:rPr>
        <w:t>响应文件中所附或所引用的原件不是中文时，应附中文译本</w:t>
      </w:r>
      <w:r>
        <w:rPr>
          <w:rFonts w:hint="eastAsia" w:ascii="宋体" w:hAnsi="宋体"/>
          <w:color w:val="auto"/>
          <w:sz w:val="24"/>
        </w:rPr>
        <w:t>（注：翻译机构应为中国翻译协会成员单位，翻译的中文译本应由翻译人员签名并加盖翻译机构公章，同时提供翻译人员翻译资格证书。供应商报价时提供的中文译本、翻译机构及翻译人员资格证书可为复印件，并加盖供应商公章。未按磋商文件要求提供中文译本的，认定为该项资格或技术商务要求不符合）。</w:t>
      </w:r>
    </w:p>
    <w:p w14:paraId="52161FA3">
      <w:pPr>
        <w:spacing w:line="360" w:lineRule="auto"/>
        <w:rPr>
          <w:rFonts w:hint="eastAsia" w:ascii="宋体" w:hAnsi="宋体"/>
          <w:b/>
          <w:color w:val="auto"/>
          <w:sz w:val="24"/>
        </w:rPr>
      </w:pPr>
      <w:r>
        <w:rPr>
          <w:rFonts w:hint="eastAsia" w:ascii="宋体" w:hAnsi="宋体"/>
          <w:b/>
          <w:color w:val="auto"/>
          <w:sz w:val="24"/>
        </w:rPr>
        <w:t>10</w:t>
      </w:r>
      <w:r>
        <w:rPr>
          <w:rFonts w:ascii="宋体" w:hAnsi="宋体"/>
          <w:b/>
          <w:color w:val="auto"/>
          <w:sz w:val="24"/>
        </w:rPr>
        <w:t xml:space="preserve">. </w:t>
      </w:r>
      <w:r>
        <w:rPr>
          <w:rFonts w:hint="eastAsia" w:ascii="宋体" w:hAnsi="宋体"/>
          <w:b/>
          <w:color w:val="auto"/>
          <w:sz w:val="24"/>
        </w:rPr>
        <w:t>响应文件的组成</w:t>
      </w:r>
    </w:p>
    <w:p w14:paraId="203BBEA4">
      <w:pPr>
        <w:spacing w:line="360" w:lineRule="auto"/>
        <w:ind w:firstLine="480" w:firstLineChars="200"/>
        <w:rPr>
          <w:rFonts w:hint="eastAsia" w:ascii="宋体" w:hAnsi="宋体"/>
          <w:color w:val="auto"/>
          <w:sz w:val="24"/>
        </w:rPr>
      </w:pPr>
      <w:r>
        <w:rPr>
          <w:rFonts w:hint="eastAsia" w:ascii="宋体" w:hAnsi="宋体"/>
          <w:color w:val="auto"/>
          <w:sz w:val="24"/>
        </w:rPr>
        <w:t>10.1响应文件应包括</w:t>
      </w:r>
      <w:r>
        <w:rPr>
          <w:rFonts w:hint="eastAsia" w:ascii="宋体" w:hAnsi="宋体"/>
          <w:bCs/>
          <w:color w:val="auto"/>
          <w:sz w:val="24"/>
        </w:rPr>
        <w:t>磋商文件及其附件（如有）</w:t>
      </w:r>
      <w:r>
        <w:rPr>
          <w:rFonts w:hint="eastAsia" w:ascii="宋体" w:hAnsi="宋体"/>
          <w:color w:val="auto"/>
          <w:sz w:val="24"/>
        </w:rPr>
        <w:t>所规定的全部内容。</w:t>
      </w:r>
    </w:p>
    <w:p w14:paraId="387DF9F1">
      <w:pPr>
        <w:spacing w:line="360" w:lineRule="auto"/>
        <w:rPr>
          <w:rFonts w:hint="eastAsia" w:ascii="宋体" w:hAnsi="宋体"/>
          <w:b/>
          <w:color w:val="auto"/>
          <w:sz w:val="24"/>
        </w:rPr>
      </w:pPr>
      <w:r>
        <w:rPr>
          <w:rFonts w:hint="eastAsia" w:ascii="宋体" w:hAnsi="宋体"/>
          <w:b/>
          <w:color w:val="auto"/>
          <w:sz w:val="24"/>
        </w:rPr>
        <w:t>11</w:t>
      </w:r>
      <w:r>
        <w:rPr>
          <w:rFonts w:ascii="宋体" w:hAnsi="宋体"/>
          <w:b/>
          <w:color w:val="auto"/>
          <w:sz w:val="24"/>
        </w:rPr>
        <w:t xml:space="preserve">. </w:t>
      </w:r>
      <w:r>
        <w:rPr>
          <w:rFonts w:hint="eastAsia" w:ascii="宋体" w:hAnsi="宋体"/>
          <w:b/>
          <w:color w:val="auto"/>
          <w:sz w:val="24"/>
        </w:rPr>
        <w:t>报价有效期</w:t>
      </w:r>
    </w:p>
    <w:p w14:paraId="6BD6C0B5">
      <w:pPr>
        <w:spacing w:line="360" w:lineRule="auto"/>
        <w:rPr>
          <w:rFonts w:hint="eastAsia" w:ascii="宋体" w:hAnsi="宋体"/>
          <w:color w:val="auto"/>
          <w:sz w:val="24"/>
        </w:rPr>
      </w:pPr>
      <w:r>
        <w:rPr>
          <w:rFonts w:hint="eastAsia" w:ascii="宋体" w:hAnsi="宋体"/>
          <w:color w:val="auto"/>
          <w:sz w:val="24"/>
        </w:rPr>
        <w:t xml:space="preserve">    11.1响应文件从</w:t>
      </w:r>
      <w:r>
        <w:rPr>
          <w:rFonts w:hint="eastAsia" w:ascii="宋体" w:hAnsi="宋体"/>
          <w:bCs/>
          <w:color w:val="auto"/>
          <w:sz w:val="24"/>
        </w:rPr>
        <w:t>供应商须知前附表</w:t>
      </w:r>
      <w:r>
        <w:rPr>
          <w:rFonts w:hint="eastAsia" w:ascii="宋体" w:hAnsi="宋体"/>
          <w:color w:val="auto"/>
          <w:sz w:val="24"/>
        </w:rPr>
        <w:t>所规定的递交响应文件截止期之后开始生效，在</w:t>
      </w:r>
      <w:r>
        <w:rPr>
          <w:rFonts w:hint="eastAsia" w:ascii="宋体" w:hAnsi="宋体"/>
          <w:bCs/>
          <w:color w:val="auto"/>
          <w:sz w:val="24"/>
        </w:rPr>
        <w:t>供应商须知前附表</w:t>
      </w:r>
      <w:r>
        <w:rPr>
          <w:rFonts w:hint="eastAsia" w:ascii="宋体" w:hAnsi="宋体"/>
          <w:color w:val="auto"/>
          <w:sz w:val="24"/>
        </w:rPr>
        <w:t>第4项所规定的期限内保持有效。有效期不足将导致其响应文件被拒绝。</w:t>
      </w:r>
    </w:p>
    <w:p w14:paraId="34ADC2B3">
      <w:pPr>
        <w:spacing w:line="360" w:lineRule="auto"/>
        <w:rPr>
          <w:rFonts w:hint="eastAsia" w:ascii="宋体" w:hAnsi="宋体"/>
          <w:color w:val="auto"/>
          <w:sz w:val="24"/>
        </w:rPr>
      </w:pPr>
      <w:r>
        <w:rPr>
          <w:rFonts w:hint="eastAsia" w:ascii="宋体" w:hAnsi="宋体"/>
          <w:color w:val="auto"/>
          <w:sz w:val="24"/>
        </w:rPr>
        <w:t xml:space="preserve">    11.2特殊情况下招标代理机构可于报价有效期满之前书面要求供应商同意延长有效期，供应商应在招标代理机构规定的期限内以书面形式予以答复。供应商可以拒绝上述要求而其磋商保证金可按规定予以退还。供应商答复不明确或者逾期未答复的，均视为拒绝上述要求。对于接受该要求的供应商，既不要求也不允许其修改响应文件，但将要求其相应延长磋商保证金有效期，有关退还和不予退还磋商保证金的规定在报价有效期延长期内继续有效。</w:t>
      </w:r>
    </w:p>
    <w:p w14:paraId="0C6AF25C">
      <w:pPr>
        <w:spacing w:line="360" w:lineRule="auto"/>
        <w:rPr>
          <w:rFonts w:hint="eastAsia" w:ascii="宋体" w:hAnsi="宋体"/>
          <w:b/>
          <w:color w:val="auto"/>
          <w:sz w:val="24"/>
        </w:rPr>
      </w:pPr>
      <w:r>
        <w:rPr>
          <w:rFonts w:hint="eastAsia" w:ascii="宋体" w:hAnsi="宋体"/>
          <w:b/>
          <w:color w:val="auto"/>
          <w:sz w:val="24"/>
        </w:rPr>
        <w:t>12. 磋商保证金</w:t>
      </w:r>
    </w:p>
    <w:p w14:paraId="39F1C155">
      <w:pPr>
        <w:spacing w:line="360" w:lineRule="auto"/>
        <w:ind w:firstLine="480"/>
        <w:rPr>
          <w:rFonts w:hint="eastAsia" w:ascii="宋体" w:hAnsi="宋体"/>
          <w:color w:val="auto"/>
          <w:sz w:val="24"/>
        </w:rPr>
      </w:pPr>
      <w:r>
        <w:rPr>
          <w:rFonts w:hint="eastAsia" w:ascii="宋体" w:hAnsi="宋体"/>
          <w:color w:val="auto"/>
          <w:sz w:val="24"/>
        </w:rPr>
        <w:t>12.1 磋商保证金为响应文件的组成部分之一。</w:t>
      </w:r>
    </w:p>
    <w:p w14:paraId="48583016">
      <w:pPr>
        <w:spacing w:line="360" w:lineRule="auto"/>
        <w:ind w:firstLine="480"/>
        <w:rPr>
          <w:rFonts w:hint="eastAsia" w:ascii="宋体" w:hAnsi="宋体"/>
          <w:color w:val="auto"/>
          <w:sz w:val="24"/>
        </w:rPr>
      </w:pPr>
      <w:r>
        <w:rPr>
          <w:rFonts w:hint="eastAsia" w:ascii="宋体" w:hAnsi="宋体"/>
          <w:color w:val="auto"/>
          <w:sz w:val="24"/>
        </w:rPr>
        <w:t>12.2 供应商应在提交响应文件之前向招标代理机构缴交磋商保证金。联合体报价的，可以由联合体中的一方或者共同提交磋商保证金，以一方名义提交磋商保证金的，对联合体各方均具有约束力。</w:t>
      </w:r>
    </w:p>
    <w:p w14:paraId="0C63D4AD">
      <w:pPr>
        <w:spacing w:line="360" w:lineRule="auto"/>
        <w:rPr>
          <w:rFonts w:hint="eastAsia" w:ascii="宋体" w:hAnsi="宋体"/>
          <w:color w:val="auto"/>
          <w:sz w:val="24"/>
        </w:rPr>
      </w:pPr>
      <w:r>
        <w:rPr>
          <w:rFonts w:hint="eastAsia" w:ascii="宋体" w:hAnsi="宋体"/>
          <w:color w:val="auto"/>
          <w:sz w:val="24"/>
        </w:rPr>
        <w:t xml:space="preserve">    12.3 磋商保证金用于保护本次磋商活动免受供应商的行为而引起的风险。</w:t>
      </w:r>
    </w:p>
    <w:p w14:paraId="38F09A19">
      <w:pPr>
        <w:spacing w:line="360" w:lineRule="auto"/>
        <w:rPr>
          <w:rFonts w:hint="eastAsia" w:ascii="宋体" w:hAnsi="宋体"/>
          <w:color w:val="auto"/>
          <w:sz w:val="24"/>
        </w:rPr>
      </w:pPr>
      <w:r>
        <w:rPr>
          <w:rFonts w:hint="eastAsia" w:ascii="宋体" w:hAnsi="宋体"/>
          <w:color w:val="auto"/>
          <w:sz w:val="24"/>
        </w:rPr>
        <w:t xml:space="preserve">    12.4 磋商保证金以转帐等非现金形式提交。不得以现金方式(不接受现金、现金存款)。        </w:t>
      </w:r>
    </w:p>
    <w:p w14:paraId="654384E5">
      <w:pPr>
        <w:spacing w:line="360" w:lineRule="auto"/>
        <w:rPr>
          <w:rFonts w:hint="eastAsia" w:ascii="宋体" w:hAnsi="宋体"/>
          <w:color w:val="auto"/>
          <w:sz w:val="24"/>
        </w:rPr>
      </w:pPr>
      <w:r>
        <w:rPr>
          <w:rFonts w:hint="eastAsia" w:ascii="宋体" w:hAnsi="宋体"/>
          <w:color w:val="auto"/>
          <w:sz w:val="24"/>
        </w:rPr>
        <w:t xml:space="preserve">    12.5 未按《供应商须知前附表》第6项2.1）、2.2）条款的规定缴交磋商保证金的报价，将被视为无效报价。</w:t>
      </w:r>
    </w:p>
    <w:p w14:paraId="4A6E0D9E">
      <w:pPr>
        <w:pStyle w:val="6"/>
        <w:snapToGrid w:val="0"/>
        <w:spacing w:line="360" w:lineRule="auto"/>
        <w:ind w:firstLine="480"/>
        <w:outlineLvl w:val="0"/>
        <w:rPr>
          <w:rFonts w:hint="eastAsia" w:ascii="宋体" w:hAnsi="宋体"/>
          <w:color w:val="auto"/>
          <w:sz w:val="24"/>
        </w:rPr>
      </w:pPr>
      <w:r>
        <w:rPr>
          <w:rFonts w:hint="eastAsia" w:ascii="宋体" w:hAnsi="宋体"/>
          <w:color w:val="auto"/>
          <w:sz w:val="24"/>
        </w:rPr>
        <w:t xml:space="preserve">    </w:t>
      </w:r>
      <w:bookmarkStart w:id="107" w:name="_Toc28159"/>
      <w:bookmarkStart w:id="108" w:name="_Toc464204047"/>
      <w:bookmarkStart w:id="109" w:name="_Toc484763864"/>
      <w:bookmarkStart w:id="110" w:name="_Toc5339"/>
      <w:bookmarkStart w:id="111" w:name="_Toc321391850"/>
      <w:bookmarkStart w:id="112" w:name="_Toc484764522"/>
      <w:bookmarkStart w:id="113" w:name="_Toc17906241"/>
      <w:bookmarkStart w:id="114" w:name="_Toc416343250"/>
      <w:bookmarkStart w:id="115" w:name="_Toc321913788"/>
      <w:bookmarkStart w:id="116" w:name="_Toc321913874"/>
      <w:bookmarkStart w:id="117" w:name="_Toc436215196"/>
      <w:r>
        <w:rPr>
          <w:rFonts w:hint="eastAsia" w:ascii="宋体" w:hAnsi="宋体"/>
          <w:color w:val="auto"/>
          <w:sz w:val="24"/>
        </w:rPr>
        <w:t>12.6招标代理机构</w:t>
      </w:r>
      <w:r>
        <w:rPr>
          <w:rFonts w:ascii="宋体" w:hAnsi="宋体"/>
          <w:color w:val="auto"/>
          <w:sz w:val="24"/>
        </w:rPr>
        <w:t>将在</w:t>
      </w:r>
      <w:r>
        <w:rPr>
          <w:rFonts w:hint="eastAsia" w:ascii="宋体" w:hAnsi="宋体"/>
          <w:color w:val="auto"/>
          <w:sz w:val="24"/>
        </w:rPr>
        <w:t>成交通知书发出之日起五个工作日内予以原额无息退还</w:t>
      </w:r>
      <w:r>
        <w:rPr>
          <w:rFonts w:hint="eastAsia" w:ascii="宋体" w:hAnsi="宋体"/>
          <w:color w:val="auto"/>
          <w:sz w:val="24"/>
          <w:lang w:eastAsia="zh-CN"/>
        </w:rPr>
        <w:t>成交供应商</w:t>
      </w:r>
      <w:r>
        <w:rPr>
          <w:rFonts w:hint="eastAsia" w:ascii="宋体" w:hAnsi="宋体"/>
          <w:color w:val="auto"/>
          <w:sz w:val="24"/>
        </w:rPr>
        <w:t>以外</w:t>
      </w:r>
      <w:r>
        <w:rPr>
          <w:rFonts w:ascii="宋体" w:hAnsi="宋体"/>
          <w:color w:val="auto"/>
          <w:sz w:val="24"/>
        </w:rPr>
        <w:t>的供应商的磋商保证金</w:t>
      </w:r>
      <w:r>
        <w:rPr>
          <w:rFonts w:hint="eastAsia" w:ascii="宋体" w:hAnsi="宋体"/>
          <w:color w:val="auto"/>
          <w:sz w:val="24"/>
        </w:rPr>
        <w:t>。</w:t>
      </w:r>
      <w:bookmarkEnd w:id="107"/>
      <w:bookmarkEnd w:id="108"/>
      <w:bookmarkEnd w:id="109"/>
      <w:bookmarkEnd w:id="110"/>
      <w:bookmarkEnd w:id="111"/>
      <w:bookmarkEnd w:id="112"/>
      <w:bookmarkEnd w:id="113"/>
      <w:bookmarkEnd w:id="114"/>
      <w:bookmarkEnd w:id="115"/>
      <w:bookmarkEnd w:id="116"/>
      <w:bookmarkEnd w:id="117"/>
    </w:p>
    <w:p w14:paraId="31876523">
      <w:pPr>
        <w:pStyle w:val="6"/>
        <w:snapToGrid w:val="0"/>
        <w:spacing w:line="360" w:lineRule="auto"/>
        <w:ind w:firstLine="480"/>
        <w:outlineLvl w:val="0"/>
        <w:rPr>
          <w:rFonts w:hint="eastAsia" w:ascii="宋体" w:hAnsi="宋体"/>
          <w:color w:val="auto"/>
          <w:sz w:val="24"/>
        </w:rPr>
      </w:pPr>
      <w:bookmarkStart w:id="118" w:name="_Toc416343251"/>
      <w:bookmarkStart w:id="119" w:name="_Toc464204048"/>
      <w:bookmarkStart w:id="120" w:name="_Toc321913789"/>
      <w:bookmarkStart w:id="121" w:name="_Toc14170"/>
      <w:bookmarkStart w:id="122" w:name="_Toc484763865"/>
      <w:bookmarkStart w:id="123" w:name="_Toc321913875"/>
      <w:bookmarkStart w:id="124" w:name="_Toc17906242"/>
      <w:bookmarkStart w:id="125" w:name="_Toc436215197"/>
      <w:bookmarkStart w:id="126" w:name="_Toc484764523"/>
      <w:bookmarkStart w:id="127" w:name="_Toc32660"/>
      <w:bookmarkStart w:id="128" w:name="_Toc321391851"/>
      <w:r>
        <w:rPr>
          <w:rFonts w:hint="eastAsia" w:ascii="宋体" w:hAnsi="宋体"/>
          <w:color w:val="auto"/>
          <w:sz w:val="24"/>
        </w:rPr>
        <w:t>12.7在</w:t>
      </w:r>
      <w:r>
        <w:rPr>
          <w:rFonts w:hint="eastAsia" w:ascii="宋体" w:hAnsi="宋体"/>
          <w:color w:val="auto"/>
          <w:sz w:val="24"/>
          <w:lang w:eastAsia="zh-CN"/>
        </w:rPr>
        <w:t>成交供应商</w:t>
      </w:r>
      <w:r>
        <w:rPr>
          <w:rFonts w:hint="eastAsia" w:ascii="宋体" w:hAnsi="宋体"/>
          <w:color w:val="auto"/>
          <w:sz w:val="24"/>
        </w:rPr>
        <w:t>支付所有代理服务费并签订合同（采购人如有要求</w:t>
      </w:r>
      <w:r>
        <w:rPr>
          <w:rFonts w:hint="eastAsia" w:ascii="宋体" w:hAnsi="宋体"/>
          <w:color w:val="auto"/>
          <w:sz w:val="24"/>
          <w:lang w:eastAsia="zh-CN"/>
        </w:rPr>
        <w:t>成交供应商</w:t>
      </w:r>
      <w:r>
        <w:rPr>
          <w:rFonts w:hint="eastAsia" w:ascii="宋体" w:hAnsi="宋体"/>
          <w:color w:val="auto"/>
          <w:sz w:val="24"/>
        </w:rPr>
        <w:t>支付履约保证金的，则增加：支付履约保证金）后5个工作日内，</w:t>
      </w:r>
      <w:r>
        <w:rPr>
          <w:rFonts w:hint="eastAsia" w:ascii="宋体" w:hAnsi="宋体"/>
          <w:color w:val="auto"/>
          <w:sz w:val="24"/>
          <w:lang w:eastAsia="zh-CN"/>
        </w:rPr>
        <w:t>成交供应商</w:t>
      </w:r>
      <w:r>
        <w:rPr>
          <w:rFonts w:ascii="宋体" w:hAnsi="宋体"/>
          <w:color w:val="auto"/>
          <w:sz w:val="24"/>
        </w:rPr>
        <w:t>的磋商保证金</w:t>
      </w:r>
      <w:r>
        <w:rPr>
          <w:rFonts w:hint="eastAsia" w:ascii="宋体" w:hAnsi="宋体"/>
          <w:color w:val="auto"/>
          <w:sz w:val="24"/>
        </w:rPr>
        <w:t>予以原额无息退还。</w:t>
      </w:r>
      <w:bookmarkEnd w:id="118"/>
      <w:bookmarkEnd w:id="119"/>
      <w:bookmarkEnd w:id="120"/>
      <w:bookmarkEnd w:id="121"/>
      <w:bookmarkEnd w:id="122"/>
      <w:bookmarkEnd w:id="123"/>
      <w:bookmarkEnd w:id="124"/>
      <w:bookmarkEnd w:id="125"/>
      <w:bookmarkEnd w:id="126"/>
      <w:bookmarkEnd w:id="127"/>
      <w:bookmarkEnd w:id="128"/>
    </w:p>
    <w:p w14:paraId="627FC425">
      <w:pPr>
        <w:spacing w:line="360" w:lineRule="auto"/>
        <w:rPr>
          <w:rFonts w:hint="eastAsia" w:ascii="宋体" w:hAnsi="宋体"/>
          <w:color w:val="auto"/>
          <w:sz w:val="24"/>
        </w:rPr>
      </w:pPr>
      <w:r>
        <w:rPr>
          <w:rFonts w:hint="eastAsia" w:ascii="宋体" w:hAnsi="宋体"/>
          <w:color w:val="auto"/>
          <w:sz w:val="24"/>
        </w:rPr>
        <w:t xml:space="preserve">    12.8 磋商保证金的有效期为报价有效期满后的30个日历日。</w:t>
      </w:r>
    </w:p>
    <w:p w14:paraId="41EC0E7A">
      <w:pPr>
        <w:spacing w:line="360" w:lineRule="auto"/>
        <w:rPr>
          <w:rFonts w:hint="eastAsia" w:ascii="宋体" w:hAnsi="宋体"/>
          <w:color w:val="auto"/>
          <w:sz w:val="24"/>
        </w:rPr>
      </w:pPr>
      <w:r>
        <w:rPr>
          <w:rFonts w:hint="eastAsia" w:ascii="宋体" w:hAnsi="宋体"/>
          <w:color w:val="auto"/>
          <w:sz w:val="24"/>
        </w:rPr>
        <w:t xml:space="preserve">    12.9 发生以下情况之一的，磋商保证金将不予退还：</w:t>
      </w:r>
    </w:p>
    <w:p w14:paraId="52CBE3FA">
      <w:pPr>
        <w:pStyle w:val="6"/>
        <w:snapToGrid w:val="0"/>
        <w:spacing w:line="360" w:lineRule="auto"/>
        <w:ind w:firstLine="480"/>
        <w:rPr>
          <w:rFonts w:hint="eastAsia" w:ascii="宋体" w:hAnsi="宋体"/>
          <w:color w:val="auto"/>
          <w:sz w:val="24"/>
        </w:rPr>
      </w:pPr>
      <w:r>
        <w:rPr>
          <w:rFonts w:hint="eastAsia" w:ascii="宋体" w:hAnsi="宋体"/>
          <w:color w:val="auto"/>
          <w:sz w:val="24"/>
        </w:rPr>
        <w:t>⑴ 供应商在递交响应文件截止期后，报价有效期内撤回报价；</w:t>
      </w:r>
    </w:p>
    <w:p w14:paraId="3A6E0DA7">
      <w:pPr>
        <w:spacing w:line="360" w:lineRule="auto"/>
        <w:ind w:left="239" w:leftChars="114" w:firstLine="240" w:firstLineChars="100"/>
        <w:rPr>
          <w:rFonts w:hint="eastAsia" w:ascii="宋体" w:hAnsi="宋体"/>
          <w:color w:val="auto"/>
          <w:sz w:val="24"/>
        </w:rPr>
      </w:pPr>
      <w:r>
        <w:rPr>
          <w:rFonts w:hint="eastAsia" w:ascii="宋体" w:hAnsi="宋体"/>
          <w:color w:val="auto"/>
          <w:sz w:val="24"/>
        </w:rPr>
        <w:t xml:space="preserve">⑵ </w:t>
      </w:r>
      <w:r>
        <w:rPr>
          <w:rFonts w:hint="eastAsia" w:ascii="宋体" w:hAnsi="宋体"/>
          <w:color w:val="auto"/>
          <w:sz w:val="24"/>
          <w:lang w:eastAsia="zh-CN"/>
        </w:rPr>
        <w:t>成交供应商</w:t>
      </w:r>
      <w:r>
        <w:rPr>
          <w:rFonts w:hint="eastAsia" w:ascii="宋体" w:hAnsi="宋体"/>
          <w:color w:val="auto"/>
          <w:sz w:val="24"/>
        </w:rPr>
        <w:t>未能做到按本须知第22条规定签订合同；</w:t>
      </w:r>
    </w:p>
    <w:p w14:paraId="4D3365F1">
      <w:pPr>
        <w:spacing w:line="360" w:lineRule="auto"/>
        <w:ind w:firstLine="480" w:firstLineChars="200"/>
        <w:rPr>
          <w:rFonts w:hint="eastAsia" w:ascii="宋体" w:hAnsi="宋体"/>
          <w:color w:val="auto"/>
          <w:sz w:val="24"/>
        </w:rPr>
      </w:pPr>
      <w:r>
        <w:rPr>
          <w:rFonts w:hint="eastAsia" w:ascii="宋体" w:hAnsi="宋体"/>
          <w:color w:val="auto"/>
          <w:sz w:val="24"/>
        </w:rPr>
        <w:t xml:space="preserve">⑶ </w:t>
      </w:r>
      <w:r>
        <w:rPr>
          <w:rFonts w:hint="eastAsia" w:ascii="宋体" w:hAnsi="宋体"/>
          <w:color w:val="auto"/>
          <w:sz w:val="24"/>
          <w:lang w:eastAsia="zh-CN"/>
        </w:rPr>
        <w:t>成交供应商</w:t>
      </w:r>
      <w:r>
        <w:rPr>
          <w:rFonts w:hint="eastAsia" w:ascii="宋体" w:hAnsi="宋体"/>
          <w:color w:val="auto"/>
          <w:sz w:val="24"/>
        </w:rPr>
        <w:t xml:space="preserve">未按规定缴纳代理服务费及提交履约保证金的（如有）； </w:t>
      </w:r>
    </w:p>
    <w:p w14:paraId="1CF50B0D">
      <w:pPr>
        <w:spacing w:line="360" w:lineRule="auto"/>
        <w:ind w:firstLine="480" w:firstLineChars="200"/>
        <w:rPr>
          <w:rFonts w:hint="eastAsia" w:ascii="宋体" w:hAnsi="宋体"/>
          <w:color w:val="auto"/>
          <w:sz w:val="24"/>
        </w:rPr>
      </w:pPr>
      <w:r>
        <w:rPr>
          <w:rFonts w:hint="eastAsia" w:ascii="宋体" w:hAnsi="宋体"/>
          <w:color w:val="auto"/>
          <w:sz w:val="24"/>
        </w:rPr>
        <w:t>⑷ 以他人名义报价或者以其他方式弄虚作假，骗取成交；</w:t>
      </w:r>
    </w:p>
    <w:p w14:paraId="38AF2391">
      <w:pPr>
        <w:spacing w:line="360" w:lineRule="auto"/>
        <w:ind w:left="239" w:leftChars="114" w:firstLine="240" w:firstLineChars="100"/>
        <w:rPr>
          <w:rFonts w:hint="eastAsia" w:ascii="宋体" w:hAnsi="宋体"/>
          <w:color w:val="auto"/>
          <w:sz w:val="24"/>
        </w:rPr>
      </w:pPr>
      <w:r>
        <w:rPr>
          <w:rFonts w:hint="eastAsia" w:ascii="宋体" w:hAnsi="宋体"/>
          <w:color w:val="auto"/>
          <w:sz w:val="24"/>
        </w:rPr>
        <w:t>⑸ 本磋商文件中规定的其他不予退还磋商保证金的情形。</w:t>
      </w:r>
    </w:p>
    <w:p w14:paraId="71720A09">
      <w:pPr>
        <w:spacing w:line="360" w:lineRule="auto"/>
        <w:ind w:firstLine="480" w:firstLineChars="200"/>
        <w:rPr>
          <w:rFonts w:hint="eastAsia" w:ascii="宋体" w:hAnsi="宋体"/>
          <w:color w:val="auto"/>
          <w:sz w:val="24"/>
        </w:rPr>
      </w:pPr>
      <w:r>
        <w:rPr>
          <w:rFonts w:hint="eastAsia" w:ascii="宋体" w:hAnsi="宋体"/>
          <w:color w:val="auto"/>
          <w:sz w:val="24"/>
        </w:rPr>
        <w:t>上述不予退还磋商保证金的情况给招标采购单位造成损失的，还要承担赔偿责任。</w:t>
      </w:r>
    </w:p>
    <w:p w14:paraId="47179D5D">
      <w:pPr>
        <w:spacing w:line="360" w:lineRule="auto"/>
        <w:rPr>
          <w:rFonts w:hint="eastAsia" w:ascii="宋体" w:hAnsi="宋体"/>
          <w:b/>
          <w:color w:val="auto"/>
          <w:sz w:val="24"/>
        </w:rPr>
      </w:pPr>
      <w:r>
        <w:rPr>
          <w:rFonts w:hint="eastAsia" w:ascii="宋体" w:hAnsi="宋体"/>
          <w:b/>
          <w:color w:val="auto"/>
          <w:sz w:val="24"/>
        </w:rPr>
        <w:t>13</w:t>
      </w:r>
      <w:r>
        <w:rPr>
          <w:rFonts w:ascii="宋体" w:hAnsi="宋体"/>
          <w:b/>
          <w:color w:val="auto"/>
          <w:sz w:val="24"/>
        </w:rPr>
        <w:t xml:space="preserve">. </w:t>
      </w:r>
      <w:r>
        <w:rPr>
          <w:rFonts w:hint="eastAsia" w:ascii="宋体" w:hAnsi="宋体"/>
          <w:b/>
          <w:color w:val="auto"/>
          <w:sz w:val="24"/>
        </w:rPr>
        <w:t>响应文件的格式</w:t>
      </w:r>
    </w:p>
    <w:p w14:paraId="0BB946E2">
      <w:pPr>
        <w:spacing w:line="360" w:lineRule="auto"/>
        <w:ind w:firstLine="480"/>
        <w:rPr>
          <w:rFonts w:hint="eastAsia" w:ascii="宋体" w:hAnsi="宋体"/>
          <w:b/>
          <w:color w:val="auto"/>
          <w:sz w:val="24"/>
        </w:rPr>
      </w:pPr>
      <w:r>
        <w:rPr>
          <w:rFonts w:hint="eastAsia" w:ascii="宋体" w:hAnsi="宋体"/>
          <w:color w:val="auto"/>
          <w:sz w:val="24"/>
        </w:rPr>
        <w:t>13.1所有响应文件用A4幅面纸张打印装订，应编制封面、目录、页码，并加盖骑缝章。</w:t>
      </w:r>
    </w:p>
    <w:p w14:paraId="0F99C526">
      <w:pPr>
        <w:spacing w:line="360" w:lineRule="auto"/>
        <w:rPr>
          <w:rFonts w:hint="eastAsia" w:ascii="宋体" w:hAnsi="宋体"/>
          <w:color w:val="auto"/>
          <w:sz w:val="24"/>
        </w:rPr>
      </w:pPr>
      <w:r>
        <w:rPr>
          <w:rFonts w:hint="eastAsia" w:ascii="宋体" w:hAnsi="宋体"/>
          <w:color w:val="auto"/>
          <w:sz w:val="24"/>
        </w:rPr>
        <w:t xml:space="preserve">    13.2 响应文件应由供应商的单位负责人或者其授权代表签字并加盖公章，如由后者签字，应提供“单位负责人授权委托书”。</w:t>
      </w:r>
    </w:p>
    <w:p w14:paraId="37DF6CDB">
      <w:pPr>
        <w:spacing w:line="360" w:lineRule="auto"/>
        <w:rPr>
          <w:rFonts w:hint="eastAsia" w:ascii="宋体" w:hAnsi="宋体"/>
          <w:color w:val="auto"/>
          <w:sz w:val="24"/>
        </w:rPr>
      </w:pPr>
      <w:r>
        <w:rPr>
          <w:rFonts w:hint="eastAsia" w:ascii="宋体" w:hAnsi="宋体"/>
          <w:color w:val="auto"/>
          <w:sz w:val="24"/>
        </w:rPr>
        <w:t xml:space="preserve">    13.3 除非有另外的规定或许可，报价使用货币为人民币。各种计量单位及符号应采用国际上统一使用的公制计量单位和符号。</w:t>
      </w:r>
    </w:p>
    <w:p w14:paraId="2F60726F">
      <w:pPr>
        <w:spacing w:line="360" w:lineRule="auto"/>
        <w:ind w:firstLine="480"/>
        <w:rPr>
          <w:rFonts w:hint="eastAsia" w:ascii="宋体" w:hAnsi="宋体"/>
          <w:color w:val="auto"/>
          <w:sz w:val="24"/>
        </w:rPr>
      </w:pPr>
      <w:r>
        <w:rPr>
          <w:rFonts w:hint="eastAsia" w:ascii="宋体" w:hAnsi="宋体"/>
          <w:color w:val="auto"/>
          <w:sz w:val="24"/>
        </w:rPr>
        <w:t>13.4 供应商应提交证明其拟供货物（服务）符合磋商文件要求的技术响应文件，该文件可以是文字资料、图纸和数据，并须提供货物（服务）主要技术性能的详细描述。</w:t>
      </w:r>
    </w:p>
    <w:p w14:paraId="05031B79">
      <w:pPr>
        <w:spacing w:line="360" w:lineRule="auto"/>
        <w:ind w:firstLine="482" w:firstLineChars="200"/>
        <w:rPr>
          <w:rFonts w:hint="eastAsia" w:ascii="宋体" w:hAnsi="宋体"/>
          <w:b/>
          <w:color w:val="auto"/>
          <w:sz w:val="24"/>
        </w:rPr>
      </w:pPr>
      <w:r>
        <w:rPr>
          <w:rFonts w:hint="eastAsia" w:ascii="宋体" w:hAnsi="宋体"/>
          <w:b/>
          <w:color w:val="auto"/>
          <w:sz w:val="24"/>
        </w:rPr>
        <w:t>重要技术条款（参数）提供的技术支持资料，以制造商公开发布的印刷资料或检测机构出具的检测报告为准。出现不一致时，以不利于供应商的进行判定。</w:t>
      </w:r>
    </w:p>
    <w:p w14:paraId="0D0AEB66">
      <w:pPr>
        <w:spacing w:line="360" w:lineRule="auto"/>
        <w:ind w:firstLine="480" w:firstLineChars="200"/>
        <w:rPr>
          <w:rFonts w:hint="eastAsia" w:ascii="宋体" w:hAnsi="宋体"/>
          <w:color w:val="auto"/>
          <w:sz w:val="24"/>
        </w:rPr>
      </w:pPr>
      <w:r>
        <w:rPr>
          <w:rFonts w:hint="eastAsia" w:ascii="宋体" w:hAnsi="宋体"/>
          <w:color w:val="auto"/>
          <w:sz w:val="24"/>
        </w:rPr>
        <w:t xml:space="preserve">注：磋商文件中载明的技术和商务要求，属于实质性要求，不满足即为无效响应条款的，供应商必须提供证明材料，未按磋商文件要求提供证明材料的，认定为该项技术指标或商务条件不符合；属于得（扣）分条款的，若磋商文件有要求供应商提供证明材料并予以标注对应关系的，未按磋商文件要求提供证明材料的，认定为该项技术指标或商务条件不得分或扣分。 </w:t>
      </w:r>
    </w:p>
    <w:p w14:paraId="4C8C2056">
      <w:pPr>
        <w:spacing w:line="360" w:lineRule="auto"/>
        <w:rPr>
          <w:rFonts w:hint="eastAsia" w:ascii="宋体" w:hAnsi="宋体"/>
          <w:color w:val="auto"/>
          <w:sz w:val="24"/>
        </w:rPr>
      </w:pPr>
      <w:r>
        <w:rPr>
          <w:rFonts w:hint="eastAsia" w:ascii="宋体" w:hAnsi="宋体"/>
          <w:color w:val="auto"/>
          <w:sz w:val="24"/>
        </w:rPr>
        <w:t xml:space="preserve">    </w:t>
      </w:r>
      <w:r>
        <w:rPr>
          <w:rFonts w:ascii="宋体" w:hAnsi="宋体"/>
          <w:color w:val="auto"/>
          <w:sz w:val="24"/>
        </w:rPr>
        <w:t>1</w:t>
      </w:r>
      <w:r>
        <w:rPr>
          <w:rFonts w:hint="eastAsia" w:ascii="宋体" w:hAnsi="宋体"/>
          <w:color w:val="auto"/>
          <w:sz w:val="24"/>
        </w:rPr>
        <w:t>3</w:t>
      </w:r>
      <w:r>
        <w:rPr>
          <w:rFonts w:ascii="宋体" w:hAnsi="宋体"/>
          <w:color w:val="auto"/>
          <w:sz w:val="24"/>
        </w:rPr>
        <w:t xml:space="preserve">.5 </w:t>
      </w:r>
      <w:r>
        <w:rPr>
          <w:rFonts w:hint="eastAsia" w:ascii="宋体" w:hAnsi="宋体"/>
          <w:color w:val="auto"/>
          <w:sz w:val="24"/>
        </w:rPr>
        <w:t>响应文件的正本和全部副本均应使用不能擦去的墨料或墨水打印、书写或复印，并由单位负责人或其授权代表签署，盖供应商公章。</w:t>
      </w:r>
    </w:p>
    <w:p w14:paraId="078A0C71">
      <w:pPr>
        <w:spacing w:line="360" w:lineRule="auto"/>
        <w:ind w:firstLine="480"/>
        <w:rPr>
          <w:rFonts w:hint="eastAsia" w:ascii="宋体" w:hAnsi="宋体"/>
          <w:color w:val="auto"/>
          <w:sz w:val="24"/>
        </w:rPr>
      </w:pPr>
      <w:r>
        <w:rPr>
          <w:rFonts w:ascii="宋体" w:hAnsi="宋体"/>
          <w:color w:val="auto"/>
          <w:sz w:val="24"/>
        </w:rPr>
        <w:t>1</w:t>
      </w:r>
      <w:r>
        <w:rPr>
          <w:rFonts w:hint="eastAsia" w:ascii="宋体" w:hAnsi="宋体"/>
          <w:color w:val="auto"/>
          <w:sz w:val="24"/>
        </w:rPr>
        <w:t>3</w:t>
      </w:r>
      <w:r>
        <w:rPr>
          <w:rFonts w:ascii="宋体" w:hAnsi="宋体"/>
          <w:color w:val="auto"/>
          <w:sz w:val="24"/>
        </w:rPr>
        <w:t>.6</w:t>
      </w:r>
      <w:r>
        <w:rPr>
          <w:rFonts w:hint="eastAsia" w:ascii="宋体" w:hAnsi="宋体"/>
          <w:color w:val="auto"/>
          <w:sz w:val="24"/>
        </w:rPr>
        <w:t xml:space="preserve">全套响应文件应无涂改和行间插字，除非这些改动是根据招标代理机构的指示进行的，或者是为改正供应商造成的必须修改的错误而进行的。有改动时，修改处应由授权代表签署证明或加盖校正章。 </w:t>
      </w:r>
    </w:p>
    <w:p w14:paraId="0C03C333">
      <w:pPr>
        <w:spacing w:line="360" w:lineRule="auto"/>
        <w:ind w:firstLine="480"/>
        <w:rPr>
          <w:rFonts w:hint="eastAsia" w:ascii="宋体" w:hAnsi="宋体"/>
          <w:color w:val="auto"/>
          <w:sz w:val="24"/>
        </w:rPr>
      </w:pPr>
      <w:r>
        <w:rPr>
          <w:rFonts w:hint="eastAsia" w:ascii="宋体" w:hAnsi="宋体"/>
          <w:color w:val="auto"/>
          <w:sz w:val="24"/>
        </w:rPr>
        <w:t>13.7未按本须知规定的格式填写响应文件、响应文件字迹模糊不清的，其报价将被拒绝。</w:t>
      </w:r>
    </w:p>
    <w:p w14:paraId="3F27EA47">
      <w:pPr>
        <w:spacing w:line="360" w:lineRule="auto"/>
        <w:ind w:firstLine="480"/>
        <w:rPr>
          <w:rFonts w:hint="eastAsia" w:ascii="宋体" w:hAnsi="宋体"/>
          <w:color w:val="auto"/>
          <w:sz w:val="24"/>
        </w:rPr>
      </w:pPr>
      <w:r>
        <w:rPr>
          <w:rFonts w:hint="eastAsia" w:ascii="宋体" w:hAnsi="宋体"/>
          <w:color w:val="auto"/>
          <w:sz w:val="24"/>
        </w:rPr>
        <w:t>13.8 所有资格证明文件应加盖供应商公章。</w:t>
      </w:r>
    </w:p>
    <w:p w14:paraId="6B32DA0E">
      <w:pPr>
        <w:pStyle w:val="2"/>
        <w:spacing w:line="360" w:lineRule="auto"/>
        <w:rPr>
          <w:rFonts w:ascii="宋体" w:hAnsi="宋体"/>
          <w:color w:val="auto"/>
          <w:sz w:val="24"/>
          <w:szCs w:val="24"/>
        </w:rPr>
      </w:pPr>
      <w:bookmarkStart w:id="129" w:name="_Toc17906243"/>
      <w:bookmarkStart w:id="130" w:name="_Toc25393"/>
      <w:bookmarkStart w:id="131" w:name="_Toc10234"/>
      <w:r>
        <w:rPr>
          <w:rFonts w:hint="eastAsia" w:ascii="宋体" w:hAnsi="宋体"/>
          <w:color w:val="auto"/>
          <w:sz w:val="24"/>
          <w:szCs w:val="24"/>
        </w:rPr>
        <w:t>四、</w:t>
      </w:r>
      <w:r>
        <w:rPr>
          <w:rFonts w:ascii="宋体" w:hAnsi="宋体"/>
          <w:color w:val="auto"/>
          <w:sz w:val="24"/>
          <w:szCs w:val="24"/>
        </w:rPr>
        <w:t xml:space="preserve">  </w:t>
      </w:r>
      <w:r>
        <w:rPr>
          <w:rFonts w:hint="eastAsia" w:ascii="宋体" w:hAnsi="宋体"/>
          <w:color w:val="auto"/>
          <w:sz w:val="24"/>
          <w:szCs w:val="24"/>
        </w:rPr>
        <w:t>响应文件的提交</w:t>
      </w:r>
      <w:bookmarkEnd w:id="129"/>
      <w:bookmarkEnd w:id="130"/>
      <w:bookmarkEnd w:id="131"/>
    </w:p>
    <w:p w14:paraId="0FD0F350">
      <w:pPr>
        <w:spacing w:line="360" w:lineRule="auto"/>
        <w:rPr>
          <w:rFonts w:hint="eastAsia" w:ascii="宋体" w:hAnsi="宋体"/>
          <w:b/>
          <w:color w:val="auto"/>
          <w:sz w:val="24"/>
          <w:shd w:val="pct10" w:color="auto" w:fill="FFFFFF"/>
        </w:rPr>
      </w:pPr>
      <w:r>
        <w:rPr>
          <w:rFonts w:hint="eastAsia" w:ascii="宋体" w:hAnsi="宋体"/>
          <w:b/>
          <w:color w:val="auto"/>
          <w:sz w:val="24"/>
          <w:shd w:val="pct10" w:color="auto" w:fill="FFFFFF"/>
        </w:rPr>
        <w:t>14. 响应文件的密封、装订、标记和递交</w:t>
      </w:r>
    </w:p>
    <w:p w14:paraId="68D80023">
      <w:pPr>
        <w:spacing w:line="360" w:lineRule="auto"/>
        <w:ind w:firstLine="480"/>
        <w:rPr>
          <w:rFonts w:hint="eastAsia" w:ascii="宋体" w:hAnsi="宋体"/>
          <w:color w:val="auto"/>
          <w:sz w:val="24"/>
        </w:rPr>
      </w:pPr>
      <w:r>
        <w:rPr>
          <w:rFonts w:hint="eastAsia" w:ascii="宋体" w:hAnsi="宋体"/>
          <w:color w:val="auto"/>
          <w:sz w:val="24"/>
        </w:rPr>
        <w:t>14.1 供应商须编制响应文件正本一份，副本三份，所有响应文件须用A4幅面纸张打印。响应文件必须用</w:t>
      </w:r>
      <w:r>
        <w:rPr>
          <w:rFonts w:hint="eastAsia" w:ascii="宋体" w:hAnsi="宋体"/>
          <w:b/>
          <w:color w:val="auto"/>
          <w:sz w:val="24"/>
          <w:shd w:val="pct10" w:color="auto" w:fill="FFFFFF"/>
        </w:rPr>
        <w:t>胶装（为永久性、无破坏不可拆分）</w:t>
      </w:r>
      <w:r>
        <w:rPr>
          <w:rFonts w:hint="eastAsia" w:ascii="宋体" w:hAnsi="宋体"/>
          <w:color w:val="auto"/>
          <w:sz w:val="24"/>
        </w:rPr>
        <w:t>装订成册，</w:t>
      </w:r>
      <w:r>
        <w:rPr>
          <w:rFonts w:hint="eastAsia" w:ascii="宋体" w:hAnsi="宋体"/>
          <w:b/>
          <w:color w:val="auto"/>
          <w:sz w:val="24"/>
        </w:rPr>
        <w:t>否则有可能造成不利于供应商的评审。</w:t>
      </w:r>
      <w:r>
        <w:rPr>
          <w:rFonts w:hint="eastAsia" w:ascii="宋体" w:hAnsi="宋体"/>
          <w:color w:val="auto"/>
          <w:sz w:val="24"/>
        </w:rPr>
        <w:t>在响应文件封面标明“正本”、“副本”字样，副本可以用正本的完整复印件。正本与副本如有不一致，以正本为准。</w:t>
      </w:r>
    </w:p>
    <w:p w14:paraId="625CDB8A">
      <w:pPr>
        <w:spacing w:line="360" w:lineRule="auto"/>
        <w:ind w:firstLine="480"/>
        <w:rPr>
          <w:rFonts w:hint="eastAsia" w:ascii="宋体" w:hAnsi="宋体"/>
          <w:color w:val="auto"/>
          <w:sz w:val="24"/>
        </w:rPr>
      </w:pPr>
      <w:r>
        <w:rPr>
          <w:rFonts w:hint="eastAsia" w:ascii="宋体" w:hAnsi="宋体"/>
          <w:color w:val="auto"/>
          <w:sz w:val="24"/>
        </w:rPr>
        <w:t>供应商应将响应文件正本、副本用信封密封，每一信封密封处应注明“于     年   月   日     （北京时间）之前不准启封”（指磋商邀请中规定的磋商日期及时间）的字样，并加盖供应商公章。</w:t>
      </w:r>
      <w:r>
        <w:rPr>
          <w:rFonts w:hint="eastAsia" w:ascii="宋体" w:hAnsi="宋体"/>
          <w:b/>
          <w:color w:val="auto"/>
          <w:sz w:val="24"/>
        </w:rPr>
        <w:t>响应文件未密封将导致报价被拒绝</w:t>
      </w:r>
      <w:r>
        <w:rPr>
          <w:rFonts w:hint="eastAsia" w:ascii="宋体" w:hAnsi="宋体"/>
          <w:color w:val="auto"/>
          <w:sz w:val="24"/>
        </w:rPr>
        <w:t>。</w:t>
      </w:r>
    </w:p>
    <w:p w14:paraId="77F3F5E9">
      <w:pPr>
        <w:spacing w:line="360" w:lineRule="auto"/>
        <w:ind w:firstLine="480"/>
        <w:rPr>
          <w:rFonts w:hint="eastAsia" w:ascii="宋体" w:hAnsi="宋体"/>
          <w:b/>
          <w:color w:val="auto"/>
          <w:sz w:val="24"/>
        </w:rPr>
      </w:pPr>
      <w:r>
        <w:rPr>
          <w:rFonts w:hint="eastAsia" w:ascii="宋体" w:hAnsi="宋体"/>
          <w:b/>
          <w:color w:val="auto"/>
          <w:sz w:val="24"/>
        </w:rPr>
        <w:t>另请提供一套（响应文件按照磋商文件规定签字并加盖公章后制作成PDF格式存放在U盘或其它闪存介质中），并与响应文件正本一同密封。</w:t>
      </w:r>
      <w:r>
        <w:rPr>
          <w:rFonts w:hint="eastAsia" w:ascii="宋体" w:hAnsi="宋体"/>
          <w:color w:val="auto"/>
          <w:sz w:val="24"/>
        </w:rPr>
        <w:t>电子标书内容与纸质文件一致。</w:t>
      </w:r>
      <w:r>
        <w:rPr>
          <w:rFonts w:hint="eastAsia" w:ascii="宋体" w:hAnsi="宋体"/>
          <w:b/>
          <w:color w:val="auto"/>
          <w:sz w:val="24"/>
        </w:rPr>
        <w:t>电子标书未密封的将导致报价被拒绝。</w:t>
      </w:r>
    </w:p>
    <w:p w14:paraId="3FBBDCB8">
      <w:pPr>
        <w:spacing w:line="360" w:lineRule="auto"/>
        <w:rPr>
          <w:rFonts w:hint="eastAsia" w:ascii="宋体" w:hAnsi="宋体"/>
          <w:color w:val="auto"/>
          <w:sz w:val="24"/>
        </w:rPr>
      </w:pPr>
      <w:r>
        <w:rPr>
          <w:rFonts w:hint="eastAsia" w:ascii="宋体" w:hAnsi="宋体"/>
          <w:color w:val="auto"/>
          <w:sz w:val="24"/>
        </w:rPr>
        <w:t xml:space="preserve">    14.2响应文件应在磋商邀请中规定的截止时间前送达，</w:t>
      </w:r>
      <w:r>
        <w:rPr>
          <w:rFonts w:hint="eastAsia" w:ascii="宋体" w:hAnsi="宋体"/>
          <w:b/>
          <w:color w:val="auto"/>
          <w:sz w:val="24"/>
        </w:rPr>
        <w:t>迟到的响应文件为无效响应文件，将被拒收。</w:t>
      </w:r>
    </w:p>
    <w:p w14:paraId="528A81D5">
      <w:pPr>
        <w:spacing w:line="360" w:lineRule="auto"/>
        <w:ind w:firstLine="480"/>
        <w:rPr>
          <w:rFonts w:hint="eastAsia" w:ascii="宋体" w:hAnsi="宋体"/>
          <w:color w:val="auto"/>
          <w:sz w:val="24"/>
        </w:rPr>
      </w:pPr>
      <w:r>
        <w:rPr>
          <w:rFonts w:hint="eastAsia" w:ascii="宋体" w:hAnsi="宋体"/>
          <w:color w:val="auto"/>
          <w:sz w:val="24"/>
        </w:rPr>
        <w:t>14.3供应商在递交响应文件截止时间前，可以对所提交的响应文件进行修改或者撤回，并书面通知招标代理机构。修改的内容和撤回通知应当按本须知要求签署、盖章。修改的书面材料还应当按本须知要求进行密封，作为响应文件的组成部分。</w:t>
      </w:r>
    </w:p>
    <w:p w14:paraId="32C00132">
      <w:pPr>
        <w:spacing w:line="360" w:lineRule="auto"/>
        <w:ind w:firstLine="480"/>
        <w:rPr>
          <w:rFonts w:hint="eastAsia" w:ascii="宋体" w:hAnsi="宋体"/>
          <w:color w:val="auto"/>
          <w:sz w:val="24"/>
        </w:rPr>
      </w:pPr>
      <w:r>
        <w:rPr>
          <w:rFonts w:hint="eastAsia" w:ascii="宋体" w:hAnsi="宋体"/>
          <w:color w:val="auto"/>
          <w:sz w:val="24"/>
        </w:rPr>
        <w:t>14.4供应商在递交响应文件截止期后不得修改、撤回响应文件。供应商在递交响应文件截止期后修改响应文件的，其报价被拒绝。</w:t>
      </w:r>
    </w:p>
    <w:p w14:paraId="675D8E01">
      <w:pPr>
        <w:spacing w:line="360" w:lineRule="auto"/>
        <w:ind w:firstLine="480"/>
        <w:rPr>
          <w:rFonts w:hint="eastAsia" w:ascii="宋体" w:hAnsi="宋体"/>
          <w:color w:val="auto"/>
          <w:sz w:val="24"/>
        </w:rPr>
      </w:pPr>
      <w:r>
        <w:rPr>
          <w:rFonts w:hint="eastAsia" w:ascii="宋体" w:hAnsi="宋体"/>
          <w:color w:val="auto"/>
          <w:sz w:val="24"/>
        </w:rPr>
        <w:t>14.5递交响应文件截止时间结束后</w:t>
      </w:r>
      <w:r>
        <w:rPr>
          <w:rFonts w:hint="eastAsia" w:ascii="宋体" w:hAnsi="宋体"/>
          <w:b/>
          <w:color w:val="auto"/>
          <w:sz w:val="24"/>
        </w:rPr>
        <w:t>递交响应文件</w:t>
      </w:r>
      <w:r>
        <w:rPr>
          <w:rFonts w:hint="eastAsia" w:ascii="宋体" w:hAnsi="宋体"/>
          <w:color w:val="auto"/>
          <w:sz w:val="24"/>
        </w:rPr>
        <w:t>的</w:t>
      </w:r>
      <w:r>
        <w:rPr>
          <w:rFonts w:hint="eastAsia" w:ascii="宋体" w:hAnsi="宋体"/>
          <w:b/>
          <w:color w:val="auto"/>
          <w:sz w:val="24"/>
        </w:rPr>
        <w:t>供应商不足三家</w:t>
      </w:r>
      <w:r>
        <w:rPr>
          <w:rFonts w:hint="eastAsia" w:ascii="宋体" w:hAnsi="宋体"/>
          <w:color w:val="auto"/>
          <w:sz w:val="24"/>
        </w:rPr>
        <w:t>的，本次磋商程序终止，除采购任务取消情形外，招标采购单位将依法重新组织招标或者采取其他方式采购。</w:t>
      </w:r>
      <w:r>
        <w:rPr>
          <w:rFonts w:hint="eastAsia" w:ascii="宋体" w:hAnsi="宋体"/>
          <w:b/>
          <w:color w:val="auto"/>
          <w:sz w:val="24"/>
        </w:rPr>
        <w:t>【符合财政部关于政府采购竞争性磋商采购方式管理暂行办法有关问题的补充通知（财库〔2015〕124号）或福建省财政厅关于政府采购执行过程中有关规定的通知（闽财购[2016]67号）中允许两家供应商磋商情形的，可以直接组织与该两家供应商进行竞争性磋商采购】</w:t>
      </w:r>
    </w:p>
    <w:p w14:paraId="2640889C">
      <w:pPr>
        <w:pStyle w:val="2"/>
        <w:spacing w:line="360" w:lineRule="auto"/>
        <w:rPr>
          <w:rFonts w:ascii="宋体" w:hAnsi="宋体"/>
          <w:color w:val="auto"/>
          <w:sz w:val="24"/>
          <w:szCs w:val="24"/>
        </w:rPr>
      </w:pPr>
      <w:bookmarkStart w:id="132" w:name="_Toc3635"/>
      <w:bookmarkStart w:id="133" w:name="_Toc495"/>
      <w:bookmarkStart w:id="134" w:name="_Toc17906244"/>
      <w:r>
        <w:rPr>
          <w:rFonts w:hint="eastAsia" w:ascii="宋体" w:hAnsi="宋体"/>
          <w:color w:val="auto"/>
          <w:sz w:val="24"/>
          <w:szCs w:val="24"/>
        </w:rPr>
        <w:t>五、</w:t>
      </w:r>
      <w:r>
        <w:rPr>
          <w:rFonts w:ascii="宋体" w:hAnsi="宋体"/>
          <w:color w:val="auto"/>
          <w:sz w:val="24"/>
          <w:szCs w:val="24"/>
        </w:rPr>
        <w:t xml:space="preserve">  </w:t>
      </w:r>
      <w:r>
        <w:rPr>
          <w:rFonts w:hint="eastAsia" w:ascii="宋体" w:hAnsi="宋体"/>
          <w:color w:val="auto"/>
          <w:sz w:val="24"/>
          <w:szCs w:val="24"/>
        </w:rPr>
        <w:t>响应文件的评估和比较</w:t>
      </w:r>
      <w:bookmarkEnd w:id="132"/>
      <w:bookmarkEnd w:id="133"/>
      <w:bookmarkEnd w:id="134"/>
    </w:p>
    <w:p w14:paraId="1DE57755">
      <w:pPr>
        <w:spacing w:line="360" w:lineRule="auto"/>
        <w:ind w:firstLine="120" w:firstLineChars="50"/>
        <w:rPr>
          <w:rFonts w:hint="eastAsia" w:ascii="宋体" w:hAnsi="宋体"/>
          <w:b/>
          <w:color w:val="auto"/>
          <w:sz w:val="24"/>
        </w:rPr>
      </w:pPr>
      <w:r>
        <w:rPr>
          <w:rFonts w:hint="eastAsia" w:ascii="宋体" w:hAnsi="宋体"/>
          <w:b/>
          <w:color w:val="auto"/>
          <w:sz w:val="24"/>
        </w:rPr>
        <w:t>15</w:t>
      </w:r>
      <w:r>
        <w:rPr>
          <w:rFonts w:ascii="宋体" w:hAnsi="宋体"/>
          <w:b/>
          <w:color w:val="auto"/>
          <w:sz w:val="24"/>
        </w:rPr>
        <w:t>.</w:t>
      </w:r>
      <w:r>
        <w:rPr>
          <w:rFonts w:hint="eastAsia" w:ascii="宋体" w:hAnsi="宋体"/>
          <w:b/>
          <w:color w:val="auto"/>
          <w:sz w:val="24"/>
        </w:rPr>
        <w:t xml:space="preserve"> 供应商第一次提交响应文件</w:t>
      </w:r>
    </w:p>
    <w:p w14:paraId="2398E65E">
      <w:pPr>
        <w:spacing w:line="360" w:lineRule="auto"/>
        <w:ind w:left="99" w:leftChars="47" w:firstLine="480" w:firstLineChars="200"/>
        <w:rPr>
          <w:rFonts w:hint="eastAsia" w:ascii="宋体" w:hAnsi="宋体"/>
          <w:color w:val="auto"/>
          <w:sz w:val="24"/>
        </w:rPr>
      </w:pPr>
      <w:r>
        <w:rPr>
          <w:rFonts w:hint="eastAsia" w:ascii="宋体" w:hAnsi="宋体"/>
          <w:color w:val="auto"/>
          <w:sz w:val="24"/>
        </w:rPr>
        <w:t>15.1 第一次提交响应文件须以书面形式提交。</w:t>
      </w:r>
    </w:p>
    <w:p w14:paraId="04C0D7B3">
      <w:pPr>
        <w:spacing w:line="360" w:lineRule="auto"/>
        <w:ind w:left="99" w:leftChars="47" w:firstLine="480" w:firstLineChars="200"/>
        <w:rPr>
          <w:rFonts w:hint="eastAsia" w:ascii="宋体" w:hAnsi="宋体"/>
          <w:color w:val="auto"/>
          <w:sz w:val="24"/>
        </w:rPr>
      </w:pPr>
      <w:r>
        <w:rPr>
          <w:rFonts w:hint="eastAsia" w:ascii="宋体" w:hAnsi="宋体"/>
          <w:color w:val="auto"/>
          <w:sz w:val="24"/>
        </w:rPr>
        <w:t>15.2 响应文件编制及递交符合本须知第13、14点所述要求。</w:t>
      </w:r>
    </w:p>
    <w:p w14:paraId="330986EF">
      <w:pPr>
        <w:tabs>
          <w:tab w:val="left" w:pos="3330"/>
        </w:tabs>
        <w:spacing w:line="360" w:lineRule="auto"/>
        <w:rPr>
          <w:rFonts w:hint="eastAsia" w:ascii="宋体" w:hAnsi="宋体"/>
          <w:b/>
          <w:color w:val="auto"/>
          <w:sz w:val="24"/>
        </w:rPr>
      </w:pPr>
      <w:r>
        <w:rPr>
          <w:rFonts w:hint="eastAsia" w:ascii="宋体" w:hAnsi="宋体"/>
          <w:b/>
          <w:color w:val="auto"/>
          <w:sz w:val="24"/>
        </w:rPr>
        <w:t>16．磋商小组</w:t>
      </w:r>
    </w:p>
    <w:p w14:paraId="44FB7005">
      <w:pPr>
        <w:spacing w:line="360" w:lineRule="auto"/>
        <w:ind w:firstLine="240" w:firstLineChars="100"/>
        <w:rPr>
          <w:rFonts w:hint="eastAsia" w:ascii="宋体" w:hAnsi="宋体"/>
          <w:color w:val="auto"/>
          <w:sz w:val="24"/>
        </w:rPr>
      </w:pPr>
      <w:r>
        <w:rPr>
          <w:rFonts w:hint="eastAsia" w:ascii="宋体" w:hAnsi="宋体"/>
          <w:color w:val="auto"/>
          <w:sz w:val="24"/>
        </w:rPr>
        <w:t xml:space="preserve">  16.1招标代理机构根据磋商货物和服务的特点依法组建磋商小组。磋商小组由技术、经济方面的专家和采购人代表组成。成员为3人以上单数组成，专家不能少于三分之二。在开标后的适当时间里由磋商小组对响应文件进行审查、质疑、评估和比较，并做出授予合同的建议。</w:t>
      </w:r>
    </w:p>
    <w:p w14:paraId="237AEC56">
      <w:pPr>
        <w:spacing w:line="360" w:lineRule="auto"/>
        <w:ind w:firstLine="480" w:firstLineChars="200"/>
        <w:rPr>
          <w:rFonts w:hint="eastAsia" w:ascii="宋体" w:hAnsi="宋体"/>
          <w:color w:val="auto"/>
          <w:sz w:val="24"/>
        </w:rPr>
      </w:pPr>
      <w:r>
        <w:rPr>
          <w:rFonts w:hint="eastAsia" w:ascii="宋体" w:hAnsi="宋体"/>
          <w:color w:val="auto"/>
          <w:sz w:val="24"/>
        </w:rPr>
        <w:t>16.2 磋商小组成员有下列情形之一的，应当回避：(1) 现在或者在采购活动发生前三年内，与供应商存在雇佣关系；(2) 现在或者在采购活动发生前三年内担任供应商的财务顾问、法律顾问或技术顾问；(3) 现在或者在采购活动发生前三年内是供应商的控股股东或者实际控制人；(4) 与供应商的法定代表人或者负责人是直系血亲、三代以内旁系血亲及姻亲关系；(5) 与供应商之间存在其他影响或可能影响采购活动依法进行的利害关系。</w:t>
      </w:r>
    </w:p>
    <w:p w14:paraId="504854A7">
      <w:pPr>
        <w:spacing w:line="360" w:lineRule="auto"/>
        <w:ind w:firstLine="480" w:firstLineChars="200"/>
        <w:rPr>
          <w:rFonts w:hint="eastAsia" w:ascii="宋体" w:hAnsi="宋体"/>
          <w:color w:val="auto"/>
          <w:sz w:val="24"/>
        </w:rPr>
      </w:pPr>
      <w:r>
        <w:rPr>
          <w:rFonts w:hint="eastAsia" w:ascii="宋体" w:hAnsi="宋体"/>
          <w:color w:val="auto"/>
          <w:sz w:val="24"/>
        </w:rPr>
        <w:t>16.3在采购活动中，采购人员及相关人员与供应商有下列利害关系之一的，应当回避：(1)参加采购活动前3年内与供应商存在劳动关系；(2)参加采购活动前3年内担任供应商的董事、监事；(3)参加采购活动前3年内是供应商的控股股东或者实际控制人；(4)与供应商的法定代表人或者负责人有夫妻、直系血亲、三代以内旁系血亲或者近姻亲关系；(5)与供应商有其他可能影响政府采购活动公平、公正进行的关系。</w:t>
      </w:r>
    </w:p>
    <w:p w14:paraId="446CB5C3">
      <w:pPr>
        <w:spacing w:line="360" w:lineRule="auto"/>
        <w:ind w:firstLine="480" w:firstLineChars="200"/>
        <w:rPr>
          <w:rFonts w:hint="eastAsia" w:ascii="宋体" w:hAnsi="宋体"/>
          <w:color w:val="auto"/>
          <w:sz w:val="24"/>
        </w:rPr>
      </w:pPr>
      <w:r>
        <w:rPr>
          <w:rFonts w:hint="eastAsia" w:ascii="宋体" w:hAnsi="宋体"/>
          <w:color w:val="auto"/>
          <w:sz w:val="24"/>
        </w:rPr>
        <w:t>供应商认为采购人员及相关人员与其他供应商有利害关系的，可以向采购人或者本司提出回避申请并说明理由。</w:t>
      </w:r>
    </w:p>
    <w:p w14:paraId="099DE7EC">
      <w:pPr>
        <w:spacing w:line="360" w:lineRule="auto"/>
        <w:ind w:firstLine="240" w:firstLineChars="100"/>
        <w:rPr>
          <w:rFonts w:hint="eastAsia" w:ascii="宋体" w:hAnsi="宋体"/>
          <w:color w:val="auto"/>
          <w:sz w:val="24"/>
        </w:rPr>
      </w:pPr>
      <w:r>
        <w:rPr>
          <w:rFonts w:hint="eastAsia" w:ascii="宋体" w:hAnsi="宋体"/>
          <w:color w:val="auto"/>
          <w:sz w:val="24"/>
        </w:rPr>
        <w:t xml:space="preserve">  16.4 在磋商过程中，磋商小组可以根据磋商文件和磋商情况实质性变动采购需求中的技术、服务要求以及合同草案条款，但不得变动磋商文件中的其他内容。实质性变动的内容，须经采购人代表确认。</w:t>
      </w:r>
    </w:p>
    <w:p w14:paraId="5F60CCA8">
      <w:pPr>
        <w:spacing w:line="360" w:lineRule="auto"/>
        <w:ind w:firstLine="240" w:firstLineChars="100"/>
        <w:rPr>
          <w:rFonts w:hint="eastAsia" w:ascii="宋体" w:hAnsi="宋体"/>
          <w:color w:val="auto"/>
          <w:sz w:val="24"/>
        </w:rPr>
      </w:pPr>
      <w:r>
        <w:rPr>
          <w:rFonts w:hint="eastAsia" w:ascii="宋体" w:hAnsi="宋体"/>
          <w:color w:val="auto"/>
          <w:sz w:val="24"/>
        </w:rPr>
        <w:t>　16.5 对磋商文件作出的实质性变动是磋商文件的有效组成部分，磋商小组应当及时以书面形式同时通知所有参加磋商的供应商。</w:t>
      </w:r>
    </w:p>
    <w:p w14:paraId="6F29C587">
      <w:pPr>
        <w:spacing w:line="360" w:lineRule="auto"/>
        <w:ind w:firstLine="480" w:firstLineChars="200"/>
        <w:rPr>
          <w:rFonts w:hint="eastAsia" w:ascii="宋体" w:hAnsi="宋体"/>
          <w:color w:val="auto"/>
          <w:sz w:val="24"/>
        </w:rPr>
      </w:pPr>
      <w:r>
        <w:rPr>
          <w:rFonts w:hint="eastAsia" w:ascii="宋体" w:hAnsi="宋体"/>
          <w:color w:val="auto"/>
          <w:sz w:val="24"/>
        </w:rPr>
        <w:t>16.6 供应商应遵循诚实的原则，如实编写响应文件，对响应文件的真实性负责。磋商小组对供应商所提供的响应文件仅负评审的责任。即使供应商所提交的响应文件通过了评审，在评审过程中乃至确定</w:t>
      </w:r>
      <w:r>
        <w:rPr>
          <w:rFonts w:hint="eastAsia" w:ascii="宋体" w:hAnsi="宋体"/>
          <w:color w:val="auto"/>
          <w:sz w:val="24"/>
          <w:lang w:eastAsia="zh-CN"/>
        </w:rPr>
        <w:t>成交供应商</w:t>
      </w:r>
      <w:r>
        <w:rPr>
          <w:rFonts w:hint="eastAsia" w:ascii="宋体" w:hAnsi="宋体"/>
          <w:color w:val="auto"/>
          <w:sz w:val="24"/>
        </w:rPr>
        <w:t>后，如发现供应商所提供的响应文件不合法或不真实，仍可取消其成交资格并追究法律责任。</w:t>
      </w:r>
    </w:p>
    <w:p w14:paraId="7C157959">
      <w:pPr>
        <w:spacing w:line="360" w:lineRule="auto"/>
        <w:ind w:firstLine="241" w:firstLineChars="100"/>
        <w:rPr>
          <w:rFonts w:hint="eastAsia" w:ascii="宋体" w:hAnsi="宋体"/>
          <w:b/>
          <w:color w:val="auto"/>
          <w:sz w:val="24"/>
        </w:rPr>
      </w:pPr>
      <w:r>
        <w:rPr>
          <w:rFonts w:hint="eastAsia" w:ascii="宋体" w:hAnsi="宋体"/>
          <w:b/>
          <w:color w:val="auto"/>
          <w:sz w:val="24"/>
        </w:rPr>
        <w:t>17</w:t>
      </w:r>
      <w:r>
        <w:rPr>
          <w:rFonts w:ascii="宋体" w:hAnsi="宋体"/>
          <w:b/>
          <w:color w:val="auto"/>
          <w:sz w:val="24"/>
        </w:rPr>
        <w:t xml:space="preserve">. </w:t>
      </w:r>
      <w:r>
        <w:rPr>
          <w:rFonts w:hint="eastAsia" w:ascii="宋体" w:hAnsi="宋体"/>
          <w:b/>
          <w:color w:val="auto"/>
          <w:sz w:val="24"/>
        </w:rPr>
        <w:t>响应文件的初审</w:t>
      </w:r>
    </w:p>
    <w:p w14:paraId="5DEEFF1D">
      <w:pPr>
        <w:spacing w:line="360" w:lineRule="auto"/>
        <w:ind w:firstLine="480" w:firstLineChars="200"/>
        <w:rPr>
          <w:rFonts w:hint="eastAsia" w:ascii="宋体" w:hAnsi="宋体"/>
          <w:color w:val="auto"/>
          <w:sz w:val="24"/>
        </w:rPr>
      </w:pPr>
      <w:r>
        <w:rPr>
          <w:rFonts w:hint="eastAsia" w:ascii="宋体" w:hAnsi="宋体"/>
          <w:color w:val="auto"/>
          <w:sz w:val="24"/>
        </w:rPr>
        <w:t>对所有供应商的评估，都采用相同的程序和标准。评议过程将严格按照磋商文件的要求和条件进行。</w:t>
      </w:r>
    </w:p>
    <w:p w14:paraId="2C729466">
      <w:pPr>
        <w:spacing w:line="360" w:lineRule="auto"/>
        <w:ind w:firstLine="480" w:firstLineChars="200"/>
        <w:rPr>
          <w:rFonts w:hint="eastAsia" w:ascii="宋体" w:hAnsi="宋体"/>
          <w:color w:val="auto"/>
          <w:sz w:val="24"/>
        </w:rPr>
      </w:pPr>
      <w:r>
        <w:rPr>
          <w:rFonts w:hint="eastAsia" w:ascii="宋体" w:hAnsi="宋体"/>
          <w:color w:val="auto"/>
          <w:sz w:val="24"/>
        </w:rPr>
        <w:t>对响应文件中含义不明确、同类问题表述不一致或者有明显文字和计算错误的内容，磋商小组可以书面形式要求供应商作出必要的澄清、说明或者纠正。供应商的澄清、说明或者纠正应当在磋商小组规定的时间内以书面形式作出，由其单位负责人或者授权代表签字，并不得超出响应文件的范围或者改变响应文件的实质性内容。</w:t>
      </w:r>
    </w:p>
    <w:p w14:paraId="3048077A">
      <w:pPr>
        <w:spacing w:line="360" w:lineRule="auto"/>
        <w:ind w:firstLine="480" w:firstLineChars="200"/>
        <w:rPr>
          <w:rFonts w:hint="eastAsia" w:ascii="宋体" w:hAnsi="宋体"/>
          <w:color w:val="auto"/>
          <w:sz w:val="24"/>
        </w:rPr>
      </w:pPr>
      <w:r>
        <w:rPr>
          <w:rFonts w:hint="eastAsia" w:ascii="宋体" w:hAnsi="宋体"/>
          <w:color w:val="auto"/>
          <w:sz w:val="24"/>
        </w:rPr>
        <w:t>有关响应文件的审查、澄清、评估和比较以及推荐成交候选人的一切情况都不得透露给任一供应商或与上述评审工作无关的人员。</w:t>
      </w:r>
    </w:p>
    <w:p w14:paraId="2D71C912">
      <w:pPr>
        <w:spacing w:line="360" w:lineRule="auto"/>
        <w:ind w:firstLine="480" w:firstLineChars="200"/>
        <w:rPr>
          <w:rFonts w:hint="eastAsia" w:ascii="宋体" w:hAnsi="宋体"/>
          <w:color w:val="auto"/>
          <w:sz w:val="24"/>
        </w:rPr>
      </w:pPr>
      <w:r>
        <w:rPr>
          <w:rFonts w:hint="eastAsia" w:ascii="宋体" w:hAnsi="宋体"/>
          <w:color w:val="auto"/>
          <w:sz w:val="24"/>
        </w:rPr>
        <w:t>供应商任何试图影响磋商小组对响应文件的评估、比较或者推荐候选人的行为，都将导致其报价被拒绝，并被不予退还磋商保证金。</w:t>
      </w:r>
    </w:p>
    <w:p w14:paraId="26262F05">
      <w:pPr>
        <w:spacing w:line="360" w:lineRule="auto"/>
        <w:ind w:firstLine="480" w:firstLineChars="200"/>
        <w:rPr>
          <w:rFonts w:hint="eastAsia" w:ascii="宋体" w:hAnsi="宋体"/>
          <w:color w:val="auto"/>
          <w:sz w:val="24"/>
        </w:rPr>
      </w:pPr>
      <w:r>
        <w:rPr>
          <w:rFonts w:hint="eastAsia" w:ascii="宋体" w:hAnsi="宋体"/>
          <w:color w:val="auto"/>
          <w:sz w:val="24"/>
        </w:rPr>
        <w:t>17.1磋商小组将对响应文件进行检查，以确定响应文件是否完整、有无计算上的错误、是否提交了磋商保证金、文件是否已正确签署。</w:t>
      </w:r>
      <w:r>
        <w:rPr>
          <w:rFonts w:ascii="宋体" w:hAnsi="宋体"/>
          <w:color w:val="auto"/>
          <w:sz w:val="24"/>
        </w:rPr>
        <w:t xml:space="preserve"> </w:t>
      </w:r>
    </w:p>
    <w:p w14:paraId="199DACF3">
      <w:pPr>
        <w:spacing w:line="360" w:lineRule="auto"/>
        <w:ind w:firstLine="482" w:firstLineChars="200"/>
        <w:rPr>
          <w:rFonts w:hint="eastAsia" w:ascii="宋体" w:hAnsi="宋体"/>
          <w:b/>
          <w:color w:val="auto"/>
          <w:sz w:val="24"/>
        </w:rPr>
      </w:pPr>
      <w:r>
        <w:rPr>
          <w:rFonts w:hint="eastAsia" w:ascii="宋体" w:hAnsi="宋体"/>
          <w:b/>
          <w:color w:val="auto"/>
          <w:sz w:val="24"/>
        </w:rPr>
        <w:t>17.2 算术错误将按以下方法更正：</w:t>
      </w:r>
    </w:p>
    <w:p w14:paraId="7EF097EF">
      <w:pPr>
        <w:spacing w:line="360" w:lineRule="auto"/>
        <w:ind w:firstLine="480" w:firstLineChars="200"/>
        <w:rPr>
          <w:rFonts w:hint="eastAsia" w:ascii="宋体" w:hAnsi="宋体"/>
          <w:color w:val="auto"/>
          <w:sz w:val="24"/>
        </w:rPr>
      </w:pPr>
      <w:r>
        <w:rPr>
          <w:rFonts w:hint="eastAsia" w:ascii="宋体" w:hAnsi="宋体"/>
          <w:color w:val="auto"/>
          <w:sz w:val="24"/>
        </w:rPr>
        <w:t>(1) 响应文件中报价一览表(报价表)内容与响应文件中明细表内容不一致的，以报价一览表(报价表)为准。</w:t>
      </w:r>
    </w:p>
    <w:p w14:paraId="7DD383EF">
      <w:pPr>
        <w:spacing w:line="360" w:lineRule="auto"/>
        <w:ind w:firstLine="480" w:firstLineChars="200"/>
        <w:rPr>
          <w:rFonts w:hint="eastAsia" w:ascii="宋体" w:hAnsi="宋体"/>
          <w:color w:val="auto"/>
          <w:sz w:val="24"/>
        </w:rPr>
      </w:pPr>
      <w:r>
        <w:rPr>
          <w:rFonts w:hint="eastAsia" w:ascii="宋体" w:hAnsi="宋体"/>
          <w:color w:val="auto"/>
          <w:sz w:val="24"/>
        </w:rPr>
        <w:t>(2) 响应文件的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14:paraId="11E1799D">
      <w:pPr>
        <w:spacing w:line="360" w:lineRule="auto"/>
        <w:ind w:firstLine="480" w:firstLineChars="200"/>
        <w:rPr>
          <w:rFonts w:hint="eastAsia" w:ascii="宋体" w:hAnsi="宋体"/>
          <w:color w:val="auto"/>
          <w:sz w:val="24"/>
        </w:rPr>
      </w:pPr>
      <w:r>
        <w:rPr>
          <w:rFonts w:hint="eastAsia" w:ascii="宋体" w:hAnsi="宋体"/>
          <w:color w:val="auto"/>
          <w:sz w:val="24"/>
        </w:rPr>
        <w:t>(3) 如出现(1)与(2)相冲突则以(1)为先。</w:t>
      </w:r>
    </w:p>
    <w:p w14:paraId="4A6AD6A9">
      <w:pPr>
        <w:spacing w:line="360" w:lineRule="auto"/>
        <w:ind w:firstLine="480" w:firstLineChars="200"/>
        <w:rPr>
          <w:rFonts w:hint="eastAsia" w:ascii="宋体" w:hAnsi="宋体"/>
          <w:color w:val="auto"/>
          <w:sz w:val="24"/>
        </w:rPr>
      </w:pPr>
      <w:r>
        <w:rPr>
          <w:rFonts w:hint="eastAsia" w:ascii="宋体" w:hAnsi="宋体"/>
          <w:color w:val="auto"/>
          <w:sz w:val="24"/>
        </w:rPr>
        <w:t>(4) 当上述错误或不一致时的更正方法相冲突时，可采取对“有错”供应商不利的原则进行修正。</w:t>
      </w:r>
    </w:p>
    <w:p w14:paraId="70AF8CFA">
      <w:pPr>
        <w:spacing w:line="360" w:lineRule="auto"/>
        <w:ind w:firstLine="482" w:firstLineChars="200"/>
        <w:rPr>
          <w:rFonts w:hint="eastAsia" w:ascii="宋体" w:hAnsi="宋体"/>
          <w:b/>
          <w:color w:val="auto"/>
          <w:sz w:val="24"/>
        </w:rPr>
      </w:pPr>
      <w:r>
        <w:rPr>
          <w:rFonts w:hint="eastAsia" w:ascii="宋体" w:hAnsi="宋体"/>
          <w:b/>
          <w:color w:val="auto"/>
          <w:sz w:val="24"/>
        </w:rPr>
        <w:t>如果供应商不接受按上述方法对响应文件中的算术错误进行更正，其报价将被拒绝并不予退还其磋商保证金。</w:t>
      </w:r>
    </w:p>
    <w:p w14:paraId="3CBCC837">
      <w:pPr>
        <w:spacing w:line="360" w:lineRule="auto"/>
        <w:ind w:firstLine="480" w:firstLineChars="200"/>
        <w:rPr>
          <w:rFonts w:hint="eastAsia" w:ascii="宋体" w:hAnsi="宋体"/>
          <w:color w:val="auto"/>
          <w:sz w:val="24"/>
        </w:rPr>
      </w:pPr>
      <w:r>
        <w:rPr>
          <w:rFonts w:hint="eastAsia" w:ascii="宋体" w:hAnsi="宋体"/>
          <w:color w:val="auto"/>
          <w:sz w:val="24"/>
        </w:rPr>
        <w:t xml:space="preserve">17.3 资格性检查和符合性检查 </w:t>
      </w:r>
    </w:p>
    <w:p w14:paraId="37D5D449">
      <w:pPr>
        <w:spacing w:line="360" w:lineRule="auto"/>
        <w:rPr>
          <w:rFonts w:hint="eastAsia" w:ascii="宋体" w:hAnsi="宋体"/>
          <w:color w:val="auto"/>
          <w:sz w:val="24"/>
        </w:rPr>
      </w:pPr>
      <w:r>
        <w:rPr>
          <w:rFonts w:hint="eastAsia" w:ascii="宋体" w:hAnsi="宋体"/>
          <w:color w:val="auto"/>
          <w:sz w:val="24"/>
        </w:rPr>
        <w:t xml:space="preserve">    17.3.</w:t>
      </w:r>
      <w:r>
        <w:rPr>
          <w:rFonts w:ascii="宋体" w:hAnsi="宋体"/>
          <w:color w:val="auto"/>
          <w:sz w:val="24"/>
        </w:rPr>
        <w:t>1</w:t>
      </w:r>
      <w:r>
        <w:rPr>
          <w:rFonts w:hint="eastAsia" w:ascii="宋体" w:hAnsi="宋体"/>
          <w:color w:val="auto"/>
          <w:sz w:val="24"/>
        </w:rPr>
        <w:t>资格性检查。依据法律法规和磋商文件的规定，在对响应文件详细评估之前，磋商小组将依据供应商提交的响应文件按供应商须知前附表第2项所述的资格标准对供应商进行资格审查，以确定其是否具备报价资格。如果供应商不具备报价资格，不满足磋商文件所规定的资格标准或提供资格证明文件不全的, 其报价将被拒绝。</w:t>
      </w:r>
    </w:p>
    <w:p w14:paraId="765BF939">
      <w:pPr>
        <w:spacing w:line="360" w:lineRule="auto"/>
        <w:rPr>
          <w:rFonts w:hint="eastAsia" w:ascii="宋体" w:hAnsi="宋体"/>
          <w:color w:val="auto"/>
          <w:sz w:val="24"/>
        </w:rPr>
      </w:pPr>
      <w:r>
        <w:rPr>
          <w:rFonts w:hint="eastAsia" w:ascii="宋体" w:hAnsi="宋体"/>
          <w:color w:val="auto"/>
          <w:sz w:val="24"/>
        </w:rPr>
        <w:t xml:space="preserve">    17.3.2符合性检查。依据磋商文件的规定，磋商小组还将从响应文件的有效性、完整性和对磋商文件的响应程度进行审查，以确定是否符合对磋商文件的实质性要求作出响应。实质性偏离是指：（</w:t>
      </w:r>
      <w:r>
        <w:rPr>
          <w:rFonts w:ascii="宋体" w:hAnsi="宋体"/>
          <w:color w:val="auto"/>
          <w:sz w:val="24"/>
        </w:rPr>
        <w:t>1</w:t>
      </w:r>
      <w:r>
        <w:rPr>
          <w:rFonts w:hint="eastAsia" w:ascii="宋体" w:hAnsi="宋体"/>
          <w:color w:val="auto"/>
          <w:sz w:val="24"/>
        </w:rPr>
        <w:t>）实质性影响合同的范围、质量和履行；（</w:t>
      </w:r>
      <w:r>
        <w:rPr>
          <w:rFonts w:ascii="宋体" w:hAnsi="宋体"/>
          <w:color w:val="auto"/>
          <w:sz w:val="24"/>
        </w:rPr>
        <w:t>2</w:t>
      </w:r>
      <w:r>
        <w:rPr>
          <w:rFonts w:hint="eastAsia" w:ascii="宋体" w:hAnsi="宋体"/>
          <w:color w:val="auto"/>
          <w:sz w:val="24"/>
        </w:rPr>
        <w:t>）实质性违背磋商文件，限制了采购人的权利和</w:t>
      </w:r>
      <w:r>
        <w:rPr>
          <w:rFonts w:hint="eastAsia" w:ascii="宋体" w:hAnsi="宋体"/>
          <w:color w:val="auto"/>
          <w:sz w:val="24"/>
          <w:lang w:eastAsia="zh-CN"/>
        </w:rPr>
        <w:t>成交供应商</w:t>
      </w:r>
      <w:r>
        <w:rPr>
          <w:rFonts w:hint="eastAsia" w:ascii="宋体" w:hAnsi="宋体"/>
          <w:color w:val="auto"/>
          <w:sz w:val="24"/>
        </w:rPr>
        <w:t>合同项下的义务；（</w:t>
      </w:r>
      <w:r>
        <w:rPr>
          <w:rFonts w:ascii="宋体" w:hAnsi="宋体"/>
          <w:color w:val="auto"/>
          <w:sz w:val="24"/>
        </w:rPr>
        <w:t>3</w:t>
      </w:r>
      <w:r>
        <w:rPr>
          <w:rFonts w:hint="eastAsia" w:ascii="宋体" w:hAnsi="宋体"/>
          <w:color w:val="auto"/>
          <w:sz w:val="24"/>
        </w:rPr>
        <w:t xml:space="preserve">）不公正地影响了其它作出实质性响应的供应商的竞争地位。对没有实质性响应的响应文件将不进行评估，其报价将被拒绝。 </w:t>
      </w:r>
    </w:p>
    <w:p w14:paraId="25C55220">
      <w:pPr>
        <w:spacing w:line="360" w:lineRule="auto"/>
        <w:ind w:firstLine="480" w:firstLineChars="200"/>
        <w:rPr>
          <w:rFonts w:hint="eastAsia" w:ascii="宋体" w:hAnsi="宋体"/>
          <w:color w:val="auto"/>
          <w:sz w:val="24"/>
        </w:rPr>
      </w:pPr>
      <w:r>
        <w:rPr>
          <w:rFonts w:hint="eastAsia" w:ascii="宋体" w:hAnsi="宋体"/>
          <w:color w:val="auto"/>
          <w:sz w:val="24"/>
        </w:rPr>
        <w:t>磋商小组决定报价的响应性只根据响应文件本身的内容，而不寻求其他的外部证据。</w:t>
      </w:r>
    </w:p>
    <w:p w14:paraId="359AD094">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17.3.3磋商小组在政府采购评审过程中发现供应商存在下列情形之一的，可认定其有串通报价行为，并做出其报价无效的决定：</w:t>
      </w:r>
    </w:p>
    <w:p w14:paraId="467FB77A">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（1）不同供应商的响应文件由同一单位或者个人编制；</w:t>
      </w:r>
    </w:p>
    <w:p w14:paraId="0ED955C2">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（2）不同供应商委托同一单位或者个人办理磋商事宜；</w:t>
      </w:r>
    </w:p>
    <w:p w14:paraId="44B138CD">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（3）不同供应商的响应文件载明的项目管理成员为同一人；</w:t>
      </w:r>
    </w:p>
    <w:p w14:paraId="3ED0D404">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（4）不同供应商的响应文件异常一致或者报价呈规律性差异；</w:t>
      </w:r>
    </w:p>
    <w:p w14:paraId="4A1F3A21">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（5）不同供应商的磋商保证金从同一单位或者个人的账户转出；</w:t>
      </w:r>
    </w:p>
    <w:p w14:paraId="662A5B01">
      <w:pPr>
        <w:pStyle w:val="52"/>
        <w:adjustRightInd w:val="0"/>
        <w:snapToGrid w:val="0"/>
        <w:ind w:firstLine="480"/>
        <w:rPr>
          <w:rFonts w:hint="eastAsia" w:ascii="宋体" w:hAnsi="宋体"/>
          <w:color w:val="auto"/>
          <w:sz w:val="24"/>
          <w:szCs w:val="24"/>
        </w:rPr>
      </w:pPr>
      <w:r>
        <w:rPr>
          <w:rFonts w:hint="eastAsia" w:ascii="宋体" w:hAnsi="宋体"/>
          <w:color w:val="auto"/>
          <w:sz w:val="24"/>
          <w:szCs w:val="24"/>
        </w:rPr>
        <w:t>（6）不同供应商的响应文件相互混装。</w:t>
      </w:r>
    </w:p>
    <w:p w14:paraId="2E89E0FC">
      <w:pPr>
        <w:spacing w:line="360" w:lineRule="auto"/>
        <w:rPr>
          <w:rFonts w:hint="eastAsia" w:ascii="宋体" w:hAnsi="宋体"/>
          <w:color w:val="auto"/>
          <w:sz w:val="24"/>
        </w:rPr>
      </w:pPr>
      <w:r>
        <w:rPr>
          <w:rFonts w:hint="eastAsia" w:ascii="宋体" w:hAnsi="宋体"/>
          <w:color w:val="auto"/>
          <w:sz w:val="24"/>
        </w:rPr>
        <w:t xml:space="preserve">    17.4 磋商小组将邀请通过审查、且有实质性响应的供应商至磋商现场进行磋商。磋商小组所有成员集中与单一供应商分别进行磋商，并给予所有参加磋商的供应商平等的磋商机会。</w:t>
      </w:r>
    </w:p>
    <w:p w14:paraId="1E7D130A">
      <w:pPr>
        <w:spacing w:line="360" w:lineRule="auto"/>
        <w:ind w:left="99" w:leftChars="47"/>
        <w:rPr>
          <w:rFonts w:hint="eastAsia" w:ascii="宋体" w:hAnsi="宋体"/>
          <w:b/>
          <w:color w:val="auto"/>
          <w:sz w:val="24"/>
        </w:rPr>
      </w:pPr>
      <w:r>
        <w:rPr>
          <w:rFonts w:hint="eastAsia" w:ascii="宋体" w:hAnsi="宋体"/>
          <w:b/>
          <w:color w:val="auto"/>
          <w:sz w:val="24"/>
        </w:rPr>
        <w:t>18</w:t>
      </w:r>
      <w:r>
        <w:rPr>
          <w:rFonts w:ascii="宋体" w:hAnsi="宋体"/>
          <w:b/>
          <w:color w:val="auto"/>
          <w:sz w:val="24"/>
        </w:rPr>
        <w:t>.</w:t>
      </w:r>
      <w:r>
        <w:rPr>
          <w:rFonts w:hint="eastAsia" w:ascii="宋体" w:hAnsi="宋体"/>
          <w:b/>
          <w:color w:val="auto"/>
          <w:sz w:val="24"/>
        </w:rPr>
        <w:t xml:space="preserve"> 供应商第二次提交响应文件</w:t>
      </w:r>
    </w:p>
    <w:p w14:paraId="54EF8A4E">
      <w:pPr>
        <w:spacing w:line="360" w:lineRule="auto"/>
        <w:ind w:left="99" w:leftChars="47" w:firstLine="480" w:firstLineChars="200"/>
        <w:rPr>
          <w:rFonts w:hint="eastAsia" w:ascii="宋体" w:hAnsi="宋体"/>
          <w:color w:val="auto"/>
          <w:sz w:val="24"/>
        </w:rPr>
      </w:pPr>
      <w:r>
        <w:rPr>
          <w:rFonts w:hint="eastAsia" w:ascii="宋体" w:hAnsi="宋体"/>
          <w:color w:val="auto"/>
          <w:sz w:val="24"/>
        </w:rPr>
        <w:t>18.1 按磋商文件要求，参加磋商的供应商应蹉商完毕后提交最后磋商报价，确定成交候选供货商时以最终报价为准。</w:t>
      </w:r>
    </w:p>
    <w:p w14:paraId="49868F9A">
      <w:pPr>
        <w:spacing w:line="360" w:lineRule="auto"/>
        <w:ind w:left="99" w:leftChars="47" w:firstLine="480" w:firstLineChars="200"/>
        <w:rPr>
          <w:rFonts w:hint="eastAsia" w:ascii="宋体" w:hAnsi="宋体"/>
          <w:color w:val="auto"/>
          <w:sz w:val="24"/>
        </w:rPr>
      </w:pPr>
      <w:r>
        <w:rPr>
          <w:rFonts w:hint="eastAsia" w:ascii="宋体" w:hAnsi="宋体"/>
          <w:color w:val="auto"/>
          <w:sz w:val="24"/>
        </w:rPr>
        <w:t>18</w:t>
      </w:r>
      <w:r>
        <w:rPr>
          <w:rFonts w:ascii="宋体" w:hAnsi="宋体"/>
          <w:color w:val="auto"/>
          <w:sz w:val="24"/>
        </w:rPr>
        <w:t>.</w:t>
      </w:r>
      <w:r>
        <w:rPr>
          <w:rFonts w:hint="eastAsia" w:ascii="宋体" w:hAnsi="宋体"/>
          <w:color w:val="auto"/>
          <w:sz w:val="24"/>
        </w:rPr>
        <w:t>2 最后提交的报价及有关说明和资料须以书面形式（不包括电子邮件、传真等）提交，并且须供应商单位负责人或授权代表签名或盖章，是供应商响应文件的有效组成部分。</w:t>
      </w:r>
    </w:p>
    <w:p w14:paraId="136CB2AE">
      <w:pPr>
        <w:spacing w:line="360" w:lineRule="auto"/>
        <w:ind w:left="99" w:leftChars="47" w:firstLine="480" w:firstLineChars="200"/>
        <w:rPr>
          <w:rFonts w:hint="eastAsia" w:ascii="宋体" w:hAnsi="宋体"/>
          <w:color w:val="auto"/>
          <w:sz w:val="24"/>
        </w:rPr>
      </w:pPr>
      <w:r>
        <w:rPr>
          <w:rFonts w:hint="eastAsia" w:ascii="宋体" w:hAnsi="宋体"/>
          <w:color w:val="auto"/>
          <w:sz w:val="24"/>
        </w:rPr>
        <w:t>18.3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商将被退出本项目磋商，其提交的响应文件和报价将被否决。供应商的上述行为后果由供应商自行承担且不影响磋商小组依法开展后续相应竞争性磋商活动。</w:t>
      </w:r>
    </w:p>
    <w:p w14:paraId="33483E6C">
      <w:pPr>
        <w:spacing w:line="360" w:lineRule="auto"/>
        <w:rPr>
          <w:rFonts w:hint="eastAsia" w:ascii="宋体" w:hAnsi="宋体"/>
          <w:b/>
          <w:color w:val="auto"/>
          <w:sz w:val="24"/>
        </w:rPr>
      </w:pPr>
      <w:r>
        <w:rPr>
          <w:rFonts w:hint="eastAsia" w:ascii="宋体" w:hAnsi="宋体"/>
          <w:b/>
          <w:color w:val="auto"/>
          <w:sz w:val="24"/>
        </w:rPr>
        <w:t>19. 比较与评价</w:t>
      </w:r>
    </w:p>
    <w:p w14:paraId="73D4F9B3">
      <w:pPr>
        <w:spacing w:line="360" w:lineRule="auto"/>
        <w:ind w:firstLine="480" w:firstLineChars="200"/>
        <w:rPr>
          <w:rFonts w:hint="eastAsia" w:ascii="宋体" w:hAnsi="宋体"/>
          <w:color w:val="auto"/>
          <w:sz w:val="24"/>
        </w:rPr>
      </w:pPr>
      <w:r>
        <w:rPr>
          <w:rFonts w:hint="eastAsia" w:ascii="宋体" w:hAnsi="宋体"/>
          <w:color w:val="auto"/>
          <w:sz w:val="24"/>
        </w:rPr>
        <w:t>19.1 磋商小组将按供应商须知前附表所述评审方法与标准，对资格性检查和符合性检查合格的响应文件进行商务和技术评估，综合比较与评价。</w:t>
      </w:r>
    </w:p>
    <w:p w14:paraId="2D3388EA">
      <w:pPr>
        <w:spacing w:line="360" w:lineRule="auto"/>
        <w:ind w:firstLine="480" w:firstLineChars="200"/>
        <w:rPr>
          <w:rFonts w:hint="eastAsia" w:ascii="宋体" w:hAnsi="宋体"/>
          <w:color w:val="auto"/>
          <w:sz w:val="24"/>
        </w:rPr>
      </w:pPr>
      <w:r>
        <w:rPr>
          <w:rFonts w:hint="eastAsia" w:ascii="宋体" w:hAnsi="宋体"/>
          <w:color w:val="auto"/>
          <w:sz w:val="24"/>
        </w:rPr>
        <w:t>19.2 对漏（缺）报项的处理：磋商文件中要求列入报价的费用（含配置、功能），漏（缺）报的视同已含在总价中。但在评审时取有效供应商该项最高报价加入评审价进行评审。对多报项及赠送项的价格评审时不予核减，全部进入评审价评议。</w:t>
      </w:r>
    </w:p>
    <w:p w14:paraId="2408AB41">
      <w:pPr>
        <w:spacing w:line="360" w:lineRule="auto"/>
        <w:rPr>
          <w:rFonts w:hint="eastAsia" w:ascii="宋体" w:hAnsi="宋体"/>
          <w:color w:val="auto"/>
          <w:sz w:val="24"/>
        </w:rPr>
      </w:pPr>
      <w:r>
        <w:rPr>
          <w:rFonts w:hint="eastAsia" w:ascii="宋体" w:hAnsi="宋体"/>
          <w:color w:val="auto"/>
          <w:sz w:val="24"/>
        </w:rPr>
        <w:t xml:space="preserve">    19.3 若供应商的报价明显低于其他通过符合性审查供应商的报价，有可能影响商品质量或不能诚信履约的，供应商应按磋商小组要求作出书面说明并提供相关证明材料，不能合理说明或不能提供相关证明材料的，可作无效报价处理。</w:t>
      </w:r>
    </w:p>
    <w:p w14:paraId="56AA9F8E">
      <w:pPr>
        <w:spacing w:line="360" w:lineRule="auto"/>
        <w:ind w:firstLine="480" w:firstLineChars="200"/>
        <w:rPr>
          <w:rFonts w:hint="eastAsia" w:ascii="宋体" w:hAnsi="宋体"/>
          <w:color w:val="auto"/>
          <w:sz w:val="24"/>
        </w:rPr>
      </w:pPr>
      <w:r>
        <w:rPr>
          <w:rFonts w:hint="eastAsia" w:ascii="宋体" w:hAnsi="宋体"/>
          <w:color w:val="auto"/>
          <w:sz w:val="24"/>
        </w:rPr>
        <w:t>19.4磋商小组将按比较与评价最优在先原则，排列评价顺序，根据在供应商须知前附表中确定的成交候选人数量推荐出成交候选人。</w:t>
      </w:r>
    </w:p>
    <w:p w14:paraId="4CF2DC09">
      <w:pPr>
        <w:spacing w:line="360" w:lineRule="auto"/>
        <w:ind w:firstLine="480" w:firstLineChars="200"/>
        <w:rPr>
          <w:rFonts w:hint="eastAsia" w:ascii="宋体" w:hAnsi="宋体"/>
          <w:color w:val="auto"/>
          <w:sz w:val="24"/>
        </w:rPr>
      </w:pPr>
      <w:r>
        <w:rPr>
          <w:rFonts w:hint="eastAsia" w:ascii="宋体" w:hAnsi="宋体"/>
          <w:color w:val="auto"/>
          <w:sz w:val="24"/>
        </w:rPr>
        <w:t>19.5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5C2E89A">
      <w:pPr>
        <w:spacing w:line="360" w:lineRule="auto"/>
        <w:ind w:firstLine="480" w:firstLineChars="200"/>
        <w:rPr>
          <w:rFonts w:hint="eastAsia" w:ascii="宋体" w:hAnsi="宋体"/>
          <w:b/>
          <w:color w:val="auto"/>
          <w:sz w:val="24"/>
        </w:rPr>
      </w:pPr>
      <w:r>
        <w:rPr>
          <w:rFonts w:hint="eastAsia" w:ascii="宋体" w:hAnsi="宋体"/>
          <w:color w:val="auto"/>
          <w:sz w:val="24"/>
        </w:rPr>
        <w:t>19.6在评审期间，若出现符合本须知规定的所有报价条件的</w:t>
      </w:r>
      <w:r>
        <w:rPr>
          <w:rFonts w:hint="eastAsia" w:ascii="宋体" w:hAnsi="宋体"/>
          <w:b/>
          <w:color w:val="auto"/>
          <w:sz w:val="24"/>
        </w:rPr>
        <w:t>供应商不足三家</w:t>
      </w:r>
      <w:r>
        <w:rPr>
          <w:rFonts w:hint="eastAsia" w:ascii="宋体" w:hAnsi="宋体"/>
          <w:color w:val="auto"/>
          <w:sz w:val="24"/>
        </w:rPr>
        <w:t>情形的，本次磋商程序终止，除采购任务取消情形外，招标采购单位将依法重新组织招标或者采取其他方式采购。</w:t>
      </w:r>
      <w:r>
        <w:rPr>
          <w:rFonts w:hint="eastAsia" w:ascii="宋体" w:hAnsi="宋体"/>
          <w:b/>
          <w:color w:val="auto"/>
          <w:sz w:val="24"/>
        </w:rPr>
        <w:t>【符合财政部关于政府采购竞争性磋商采购方式管理暂行办法有关问题的补充通知（财库〔2015〕124号）或福建省财政厅关于政府采购执行过程中有关规定的通知（闽财购[2016]67号）中允许两家供应商磋商情形的，可以直接组织与该两家供应商进行竞争性磋商采购】</w:t>
      </w:r>
    </w:p>
    <w:p w14:paraId="0A9259E0">
      <w:pPr>
        <w:pStyle w:val="2"/>
        <w:spacing w:line="360" w:lineRule="auto"/>
        <w:rPr>
          <w:rFonts w:ascii="宋体" w:hAnsi="宋体"/>
          <w:color w:val="auto"/>
          <w:sz w:val="24"/>
          <w:szCs w:val="24"/>
        </w:rPr>
      </w:pPr>
      <w:bookmarkStart w:id="135" w:name="_Toc6313"/>
      <w:bookmarkStart w:id="136" w:name="_Toc17906245"/>
      <w:bookmarkStart w:id="137" w:name="_Toc27169"/>
      <w:r>
        <w:rPr>
          <w:rFonts w:hint="eastAsia" w:ascii="宋体" w:hAnsi="宋体"/>
          <w:color w:val="auto"/>
          <w:sz w:val="24"/>
          <w:szCs w:val="24"/>
        </w:rPr>
        <w:t>六、</w:t>
      </w:r>
      <w:r>
        <w:rPr>
          <w:rFonts w:ascii="宋体" w:hAnsi="宋体"/>
          <w:color w:val="auto"/>
          <w:sz w:val="24"/>
          <w:szCs w:val="24"/>
        </w:rPr>
        <w:t xml:space="preserve">  </w:t>
      </w:r>
      <w:r>
        <w:rPr>
          <w:rFonts w:hint="eastAsia" w:ascii="宋体" w:hAnsi="宋体"/>
          <w:color w:val="auto"/>
          <w:sz w:val="24"/>
          <w:szCs w:val="24"/>
        </w:rPr>
        <w:t>成交与签订合同</w:t>
      </w:r>
      <w:bookmarkEnd w:id="135"/>
      <w:bookmarkEnd w:id="136"/>
      <w:bookmarkEnd w:id="137"/>
    </w:p>
    <w:p w14:paraId="4E46750A">
      <w:pPr>
        <w:spacing w:line="360" w:lineRule="auto"/>
        <w:rPr>
          <w:rFonts w:hint="eastAsia" w:ascii="宋体" w:hAnsi="宋体"/>
          <w:b/>
          <w:color w:val="auto"/>
          <w:sz w:val="24"/>
        </w:rPr>
      </w:pPr>
      <w:r>
        <w:rPr>
          <w:rFonts w:hint="eastAsia" w:ascii="宋体" w:hAnsi="宋体"/>
          <w:b/>
          <w:color w:val="auto"/>
          <w:sz w:val="24"/>
        </w:rPr>
        <w:t>20</w:t>
      </w:r>
      <w:r>
        <w:rPr>
          <w:rFonts w:ascii="宋体" w:hAnsi="宋体"/>
          <w:b/>
          <w:color w:val="auto"/>
          <w:sz w:val="24"/>
        </w:rPr>
        <w:t>.</w:t>
      </w:r>
      <w:r>
        <w:rPr>
          <w:rFonts w:hint="eastAsia" w:ascii="宋体" w:hAnsi="宋体"/>
          <w:b/>
          <w:color w:val="auto"/>
          <w:sz w:val="24"/>
        </w:rPr>
        <w:t xml:space="preserve"> 成交准则</w:t>
      </w:r>
    </w:p>
    <w:p w14:paraId="289A68C8">
      <w:pPr>
        <w:spacing w:line="360" w:lineRule="auto"/>
        <w:ind w:firstLine="480"/>
        <w:rPr>
          <w:rFonts w:hint="eastAsia" w:ascii="宋体" w:hAnsi="宋体"/>
          <w:color w:val="auto"/>
          <w:sz w:val="24"/>
        </w:rPr>
      </w:pPr>
      <w:r>
        <w:rPr>
          <w:rFonts w:hint="eastAsia" w:ascii="宋体" w:hAnsi="宋体"/>
          <w:color w:val="auto"/>
          <w:sz w:val="24"/>
        </w:rPr>
        <w:t>20</w:t>
      </w:r>
      <w:r>
        <w:rPr>
          <w:rFonts w:ascii="宋体" w:hAnsi="宋体"/>
          <w:color w:val="auto"/>
          <w:sz w:val="24"/>
        </w:rPr>
        <w:t>.1</w:t>
      </w:r>
      <w:r>
        <w:rPr>
          <w:rFonts w:hint="eastAsia" w:ascii="宋体" w:hAnsi="宋体"/>
          <w:color w:val="auto"/>
          <w:sz w:val="24"/>
        </w:rPr>
        <w:t xml:space="preserve"> 最低报价不作为成交的保证。</w:t>
      </w:r>
    </w:p>
    <w:p w14:paraId="6CB555DF">
      <w:pPr>
        <w:spacing w:line="360" w:lineRule="auto"/>
        <w:ind w:firstLine="480"/>
        <w:rPr>
          <w:rFonts w:hint="eastAsia" w:ascii="宋体" w:hAnsi="宋体"/>
          <w:color w:val="auto"/>
          <w:sz w:val="24"/>
        </w:rPr>
      </w:pPr>
      <w:r>
        <w:rPr>
          <w:rFonts w:hint="eastAsia" w:ascii="宋体" w:hAnsi="宋体"/>
          <w:color w:val="auto"/>
          <w:sz w:val="24"/>
        </w:rPr>
        <w:t>20</w:t>
      </w:r>
      <w:r>
        <w:rPr>
          <w:rFonts w:ascii="宋体" w:hAnsi="宋体"/>
          <w:color w:val="auto"/>
          <w:sz w:val="24"/>
        </w:rPr>
        <w:t>.</w:t>
      </w:r>
      <w:r>
        <w:rPr>
          <w:rFonts w:hint="eastAsia" w:ascii="宋体" w:hAnsi="宋体"/>
          <w:color w:val="auto"/>
          <w:sz w:val="24"/>
        </w:rPr>
        <w:t>2 供应商的响应文件符合磋商文件要求，按磋商文件确定评审标准、方法，经磋商小组评审并推荐成交候选供应商。</w:t>
      </w:r>
    </w:p>
    <w:p w14:paraId="53DBECA3">
      <w:pPr>
        <w:spacing w:line="360" w:lineRule="auto"/>
        <w:ind w:firstLine="480"/>
        <w:rPr>
          <w:rFonts w:hint="eastAsia" w:ascii="宋体" w:hAnsi="宋体"/>
          <w:color w:val="auto"/>
          <w:sz w:val="24"/>
        </w:rPr>
      </w:pPr>
      <w:r>
        <w:rPr>
          <w:rFonts w:hint="eastAsia" w:ascii="宋体" w:hAnsi="宋体"/>
          <w:color w:val="auto"/>
          <w:sz w:val="24"/>
        </w:rPr>
        <w:t>20.3采购人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AD1AC61">
      <w:pPr>
        <w:spacing w:line="360" w:lineRule="auto"/>
        <w:rPr>
          <w:rFonts w:hint="eastAsia" w:ascii="宋体" w:hAnsi="宋体"/>
          <w:b/>
          <w:color w:val="auto"/>
          <w:sz w:val="24"/>
        </w:rPr>
      </w:pPr>
      <w:r>
        <w:rPr>
          <w:rFonts w:hint="eastAsia" w:ascii="宋体" w:hAnsi="宋体"/>
          <w:b/>
          <w:color w:val="auto"/>
          <w:sz w:val="24"/>
        </w:rPr>
        <w:t>21</w:t>
      </w:r>
      <w:r>
        <w:rPr>
          <w:rFonts w:ascii="宋体" w:hAnsi="宋体"/>
          <w:b/>
          <w:color w:val="auto"/>
          <w:sz w:val="24"/>
        </w:rPr>
        <w:t xml:space="preserve">. </w:t>
      </w:r>
      <w:r>
        <w:rPr>
          <w:rFonts w:hint="eastAsia" w:ascii="宋体" w:hAnsi="宋体"/>
          <w:b/>
          <w:color w:val="auto"/>
          <w:sz w:val="24"/>
        </w:rPr>
        <w:t>成交通知</w:t>
      </w:r>
    </w:p>
    <w:p w14:paraId="4CAC5FEC">
      <w:pPr>
        <w:spacing w:line="360" w:lineRule="auto"/>
        <w:ind w:firstLine="480" w:firstLineChars="200"/>
        <w:rPr>
          <w:rFonts w:hint="eastAsia" w:ascii="宋体" w:hAnsi="宋体"/>
          <w:color w:val="auto"/>
          <w:sz w:val="24"/>
        </w:rPr>
      </w:pPr>
      <w:r>
        <w:rPr>
          <w:rFonts w:hint="eastAsia" w:ascii="宋体" w:hAnsi="宋体"/>
          <w:color w:val="auto"/>
          <w:sz w:val="24"/>
        </w:rPr>
        <w:t>21</w:t>
      </w:r>
      <w:r>
        <w:rPr>
          <w:rFonts w:ascii="宋体" w:hAnsi="宋体"/>
          <w:color w:val="auto"/>
          <w:sz w:val="24"/>
        </w:rPr>
        <w:t>.1</w:t>
      </w:r>
      <w:r>
        <w:rPr>
          <w:rFonts w:hint="eastAsia" w:ascii="宋体" w:hAnsi="宋体"/>
          <w:color w:val="auto"/>
          <w:sz w:val="24"/>
        </w:rPr>
        <w:t xml:space="preserve"> 评审结束后，评审结果经采购人确认后，招标代理机构方应在刊登本采购项目磋商公告的媒介上对成交结果进行公示，同时招标代理机构向成交供应商发出成交通知书。成交通知书对采购人和成交供应商具有同等法律效力。成交通知书发出后，采购人改变成交结果，或者成交供应商放弃成交，应按相关法律、规章、规范性文件的要求承担相应的法律责任。</w:t>
      </w:r>
    </w:p>
    <w:p w14:paraId="29935663">
      <w:pPr>
        <w:spacing w:line="360" w:lineRule="auto"/>
        <w:rPr>
          <w:rFonts w:hint="eastAsia" w:ascii="宋体" w:hAnsi="宋体"/>
          <w:color w:val="auto"/>
          <w:sz w:val="24"/>
        </w:rPr>
      </w:pPr>
      <w:r>
        <w:rPr>
          <w:rFonts w:ascii="宋体" w:hAnsi="宋体"/>
          <w:color w:val="auto"/>
          <w:sz w:val="24"/>
        </w:rPr>
        <w:t xml:space="preserve">  </w:t>
      </w:r>
      <w:r>
        <w:rPr>
          <w:rFonts w:hint="eastAsia" w:ascii="宋体" w:hAnsi="宋体"/>
          <w:color w:val="auto"/>
          <w:sz w:val="24"/>
        </w:rPr>
        <w:t xml:space="preserve">  21.2 在成交合同签字生效后，向未</w:t>
      </w:r>
      <w:r>
        <w:rPr>
          <w:rFonts w:hint="eastAsia" w:ascii="宋体" w:hAnsi="宋体"/>
          <w:color w:val="auto"/>
          <w:sz w:val="24"/>
          <w:lang w:eastAsia="zh-CN"/>
        </w:rPr>
        <w:t>成交供应商</w:t>
      </w:r>
      <w:r>
        <w:rPr>
          <w:rFonts w:hint="eastAsia" w:ascii="宋体" w:hAnsi="宋体"/>
          <w:color w:val="auto"/>
          <w:sz w:val="24"/>
        </w:rPr>
        <w:t>发出《磋商结果通知书》。未成交的供应商在发出《磋商结果通知书》的二周内到招标代理机构领取，逾期未领取者，视为放弃领取。</w:t>
      </w:r>
    </w:p>
    <w:p w14:paraId="613BE2D1">
      <w:pPr>
        <w:spacing w:line="360" w:lineRule="auto"/>
        <w:ind w:firstLine="480" w:firstLineChars="200"/>
        <w:rPr>
          <w:rFonts w:hint="eastAsia" w:ascii="宋体" w:hAnsi="宋体"/>
          <w:color w:val="auto"/>
          <w:sz w:val="24"/>
        </w:rPr>
      </w:pPr>
      <w:r>
        <w:rPr>
          <w:rFonts w:hint="eastAsia" w:ascii="宋体" w:hAnsi="宋体"/>
          <w:color w:val="auto"/>
          <w:sz w:val="24"/>
        </w:rPr>
        <w:t>21</w:t>
      </w:r>
      <w:r>
        <w:rPr>
          <w:rFonts w:ascii="宋体" w:hAnsi="宋体"/>
          <w:color w:val="auto"/>
          <w:sz w:val="24"/>
        </w:rPr>
        <w:t>.</w:t>
      </w:r>
      <w:r>
        <w:rPr>
          <w:rFonts w:hint="eastAsia" w:ascii="宋体" w:hAnsi="宋体"/>
          <w:color w:val="auto"/>
          <w:sz w:val="24"/>
        </w:rPr>
        <w:t>3</w:t>
      </w:r>
      <w:r>
        <w:rPr>
          <w:rFonts w:ascii="宋体" w:hAnsi="宋体"/>
          <w:color w:val="auto"/>
          <w:sz w:val="24"/>
        </w:rPr>
        <w:t xml:space="preserve"> </w:t>
      </w:r>
      <w:r>
        <w:rPr>
          <w:rFonts w:hint="eastAsia" w:ascii="宋体" w:hAnsi="宋体"/>
          <w:color w:val="auto"/>
          <w:sz w:val="24"/>
        </w:rPr>
        <w:t>《成交通知书》将作为签订合同的依据。《合同》签订后，《成交通知书》成为《合同》的一部分。</w:t>
      </w:r>
    </w:p>
    <w:p w14:paraId="76C39B31">
      <w:pPr>
        <w:spacing w:line="360" w:lineRule="auto"/>
        <w:ind w:firstLine="480" w:firstLineChars="200"/>
        <w:rPr>
          <w:rFonts w:hint="eastAsia" w:ascii="宋体" w:hAnsi="宋体"/>
          <w:color w:val="auto"/>
          <w:sz w:val="24"/>
        </w:rPr>
      </w:pPr>
      <w:r>
        <w:rPr>
          <w:rFonts w:hint="eastAsia" w:ascii="宋体" w:hAnsi="宋体"/>
          <w:color w:val="auto"/>
          <w:sz w:val="24"/>
        </w:rPr>
        <w:t>21</w:t>
      </w:r>
      <w:r>
        <w:rPr>
          <w:rFonts w:ascii="宋体" w:hAnsi="宋体"/>
          <w:color w:val="auto"/>
          <w:sz w:val="24"/>
        </w:rPr>
        <w:t>.</w:t>
      </w:r>
      <w:r>
        <w:rPr>
          <w:rFonts w:hint="eastAsia" w:ascii="宋体" w:hAnsi="宋体"/>
          <w:color w:val="auto"/>
          <w:sz w:val="24"/>
        </w:rPr>
        <w:t>4 《成交通知书》发出后5个工作日内，以原缴交方式向未成交的供应商退还其磋商保证金。</w:t>
      </w:r>
    </w:p>
    <w:p w14:paraId="236DF3C7">
      <w:pPr>
        <w:spacing w:line="360" w:lineRule="auto"/>
        <w:ind w:firstLine="480" w:firstLineChars="200"/>
        <w:rPr>
          <w:rFonts w:hint="eastAsia" w:ascii="宋体" w:hAnsi="宋体"/>
          <w:color w:val="auto"/>
          <w:sz w:val="24"/>
        </w:rPr>
      </w:pPr>
      <w:r>
        <w:rPr>
          <w:rFonts w:hint="eastAsia" w:ascii="宋体" w:hAnsi="宋体"/>
          <w:color w:val="auto"/>
          <w:sz w:val="24"/>
        </w:rPr>
        <w:t>21</w:t>
      </w:r>
      <w:r>
        <w:rPr>
          <w:rFonts w:ascii="宋体" w:hAnsi="宋体"/>
          <w:color w:val="auto"/>
          <w:sz w:val="24"/>
        </w:rPr>
        <w:t>.</w:t>
      </w:r>
      <w:r>
        <w:rPr>
          <w:rFonts w:hint="eastAsia" w:ascii="宋体" w:hAnsi="宋体"/>
          <w:color w:val="auto"/>
          <w:sz w:val="24"/>
        </w:rPr>
        <w:t>5 在合同签订后5个工作日内，以原缴交方式退还成交供应商的磋商保证金。</w:t>
      </w:r>
    </w:p>
    <w:p w14:paraId="5D434A9C">
      <w:pPr>
        <w:spacing w:line="360" w:lineRule="auto"/>
        <w:ind w:firstLine="480" w:firstLineChars="200"/>
        <w:rPr>
          <w:rFonts w:hint="eastAsia" w:ascii="宋体" w:hAnsi="宋体"/>
          <w:color w:val="auto"/>
          <w:sz w:val="24"/>
        </w:rPr>
      </w:pPr>
      <w:r>
        <w:rPr>
          <w:rFonts w:hint="eastAsia" w:ascii="宋体" w:hAnsi="宋体"/>
          <w:color w:val="auto"/>
          <w:sz w:val="24"/>
        </w:rPr>
        <w:t>21.6 代理服务费</w:t>
      </w:r>
    </w:p>
    <w:p w14:paraId="2911CDC8">
      <w:pPr>
        <w:pStyle w:val="6"/>
        <w:snapToGrid w:val="0"/>
        <w:spacing w:line="360" w:lineRule="auto"/>
        <w:ind w:firstLineChars="175"/>
        <w:outlineLvl w:val="0"/>
        <w:rPr>
          <w:rFonts w:hint="eastAsia" w:ascii="宋体" w:hAnsi="宋体"/>
          <w:color w:val="auto"/>
          <w:sz w:val="24"/>
        </w:rPr>
      </w:pPr>
      <w:bookmarkStart w:id="138" w:name="_Toc484763869"/>
      <w:bookmarkStart w:id="139" w:name="_Toc321391855"/>
      <w:bookmarkStart w:id="140" w:name="_Toc17906246"/>
      <w:bookmarkStart w:id="141" w:name="_Toc321913879"/>
      <w:bookmarkStart w:id="142" w:name="_Toc484764527"/>
      <w:bookmarkStart w:id="143" w:name="_Toc416343255"/>
      <w:bookmarkStart w:id="144" w:name="_Toc16566"/>
      <w:bookmarkStart w:id="145" w:name="_Toc464204052"/>
      <w:bookmarkStart w:id="146" w:name="_Toc20885"/>
      <w:bookmarkStart w:id="147" w:name="_Toc321913793"/>
      <w:bookmarkStart w:id="148" w:name="_Toc436215201"/>
      <w:r>
        <w:rPr>
          <w:rFonts w:hint="eastAsia" w:ascii="宋体" w:hAnsi="宋体"/>
          <w:color w:val="auto"/>
          <w:sz w:val="24"/>
        </w:rPr>
        <w:t>21.6.1 成交方须向招标代理机构按须知前附表规定交纳代理服务费。</w:t>
      </w:r>
      <w:bookmarkEnd w:id="138"/>
      <w:bookmarkEnd w:id="139"/>
      <w:bookmarkEnd w:id="140"/>
      <w:bookmarkEnd w:id="141"/>
      <w:bookmarkEnd w:id="142"/>
      <w:bookmarkEnd w:id="143"/>
      <w:bookmarkEnd w:id="144"/>
      <w:bookmarkEnd w:id="145"/>
      <w:bookmarkEnd w:id="146"/>
      <w:bookmarkEnd w:id="147"/>
      <w:bookmarkEnd w:id="148"/>
    </w:p>
    <w:p w14:paraId="3CC55EC1">
      <w:pPr>
        <w:adjustRightInd w:val="0"/>
        <w:snapToGrid w:val="0"/>
        <w:spacing w:line="360" w:lineRule="auto"/>
        <w:ind w:firstLine="480" w:firstLineChars="200"/>
        <w:rPr>
          <w:rFonts w:hint="eastAsia" w:ascii="宋体" w:hAnsi="宋体"/>
          <w:color w:val="auto"/>
          <w:sz w:val="24"/>
        </w:rPr>
      </w:pPr>
      <w:r>
        <w:rPr>
          <w:rFonts w:hint="eastAsia" w:ascii="宋体" w:hAnsi="宋体"/>
          <w:color w:val="auto"/>
          <w:sz w:val="24"/>
        </w:rPr>
        <w:t>21.6.2 成交方如未能按21.6.1条规定办理，招标代理机构将不予退还其磋商保证金，并保留追收代理服务费的权利。</w:t>
      </w:r>
    </w:p>
    <w:p w14:paraId="76949A71">
      <w:pPr>
        <w:spacing w:line="360" w:lineRule="auto"/>
        <w:ind w:firstLine="480" w:firstLineChars="200"/>
        <w:rPr>
          <w:rFonts w:hint="eastAsia" w:ascii="宋体" w:hAnsi="宋体"/>
          <w:color w:val="auto"/>
          <w:sz w:val="24"/>
        </w:rPr>
      </w:pPr>
      <w:r>
        <w:rPr>
          <w:rFonts w:hint="eastAsia" w:ascii="宋体" w:hAnsi="宋体"/>
          <w:color w:val="auto"/>
          <w:sz w:val="24"/>
        </w:rPr>
        <w:t>21.6.3代理服务收费标准：按供应商须知前附表所述收费标准。</w:t>
      </w:r>
    </w:p>
    <w:p w14:paraId="4286BFDB">
      <w:pPr>
        <w:pStyle w:val="6"/>
        <w:snapToGrid w:val="0"/>
        <w:spacing w:line="360" w:lineRule="auto"/>
        <w:ind w:firstLine="482"/>
        <w:outlineLvl w:val="1"/>
        <w:rPr>
          <w:rFonts w:hint="eastAsia" w:ascii="宋体" w:hAnsi="宋体"/>
          <w:b/>
          <w:color w:val="auto"/>
          <w:sz w:val="24"/>
        </w:rPr>
      </w:pPr>
      <w:bookmarkStart w:id="149" w:name="_Toc321391861"/>
      <w:bookmarkStart w:id="150" w:name="_Toc321913885"/>
      <w:bookmarkStart w:id="151" w:name="_Toc416343261"/>
      <w:bookmarkStart w:id="152" w:name="_Toc17906247"/>
      <w:bookmarkStart w:id="153" w:name="_Toc436215205"/>
      <w:bookmarkStart w:id="154" w:name="_Toc464204056"/>
      <w:bookmarkStart w:id="155" w:name="_Toc484764531"/>
      <w:bookmarkStart w:id="156" w:name="_Toc321913799"/>
      <w:bookmarkStart w:id="157" w:name="_Toc14887"/>
      <w:bookmarkStart w:id="158" w:name="_Toc484763873"/>
      <w:bookmarkStart w:id="159" w:name="_Toc11987"/>
      <w:r>
        <w:rPr>
          <w:rFonts w:hint="eastAsia" w:ascii="宋体" w:hAnsi="宋体"/>
          <w:b/>
          <w:color w:val="auto"/>
          <w:sz w:val="24"/>
        </w:rPr>
        <w:t>22. 签订合同</w:t>
      </w:r>
      <w:bookmarkEnd w:id="149"/>
      <w:bookmarkEnd w:id="150"/>
      <w:bookmarkEnd w:id="151"/>
      <w:bookmarkEnd w:id="152"/>
      <w:bookmarkEnd w:id="153"/>
      <w:bookmarkEnd w:id="154"/>
      <w:bookmarkEnd w:id="155"/>
      <w:bookmarkEnd w:id="156"/>
      <w:bookmarkEnd w:id="157"/>
      <w:bookmarkEnd w:id="158"/>
      <w:bookmarkEnd w:id="159"/>
    </w:p>
    <w:p w14:paraId="58E26C89">
      <w:pPr>
        <w:spacing w:line="360" w:lineRule="auto"/>
        <w:ind w:firstLine="480" w:firstLineChars="200"/>
        <w:rPr>
          <w:rFonts w:hint="eastAsia" w:ascii="宋体" w:hAnsi="宋体"/>
          <w:color w:val="auto"/>
          <w:sz w:val="24"/>
        </w:rPr>
      </w:pPr>
      <w:r>
        <w:rPr>
          <w:rFonts w:hint="eastAsia" w:ascii="宋体" w:hAnsi="宋体"/>
          <w:color w:val="auto"/>
          <w:sz w:val="24"/>
        </w:rPr>
        <w:t>22</w:t>
      </w:r>
      <w:r>
        <w:rPr>
          <w:rFonts w:ascii="宋体" w:hAnsi="宋体"/>
          <w:color w:val="auto"/>
          <w:sz w:val="24"/>
        </w:rPr>
        <w:t>.</w:t>
      </w:r>
      <w:r>
        <w:rPr>
          <w:rFonts w:hint="eastAsia" w:ascii="宋体" w:hAnsi="宋体"/>
          <w:color w:val="auto"/>
          <w:sz w:val="24"/>
        </w:rPr>
        <w:t>1采购人、成交供应商在《成交通知书》发出之日起30日内，根据磋商文件确定的事项和成交供应商响应文件，参照本磋商文件第四章的《合同》文本签订合同。三方所签订的合同不得对磋商文件和成交供应商响应文件作实质性修改。逾期未签订合同，按照有关法律规定承担相应的法律责任；招标采购单位将不予退还磋商保证金，以抵偿对招标采购单位造成的损失。采购方逾期不与成交供应商签订合同的，按政府采购的有关规定处理。</w:t>
      </w:r>
    </w:p>
    <w:p w14:paraId="4215F785">
      <w:pPr>
        <w:spacing w:line="360" w:lineRule="auto"/>
        <w:ind w:firstLine="480" w:firstLineChars="200"/>
        <w:rPr>
          <w:rFonts w:hint="eastAsia" w:ascii="宋体" w:hAnsi="宋体"/>
          <w:color w:val="auto"/>
          <w:sz w:val="24"/>
        </w:rPr>
      </w:pPr>
      <w:r>
        <w:rPr>
          <w:rFonts w:hint="eastAsia" w:ascii="宋体" w:hAnsi="宋体"/>
          <w:color w:val="auto"/>
          <w:sz w:val="24"/>
        </w:rPr>
        <w:t>22</w:t>
      </w:r>
      <w:r>
        <w:rPr>
          <w:rFonts w:ascii="宋体" w:hAnsi="宋体"/>
          <w:color w:val="auto"/>
          <w:sz w:val="24"/>
        </w:rPr>
        <w:t>.</w:t>
      </w:r>
      <w:r>
        <w:rPr>
          <w:rFonts w:hint="eastAsia" w:ascii="宋体" w:hAnsi="宋体"/>
          <w:color w:val="auto"/>
          <w:sz w:val="24"/>
        </w:rPr>
        <w:t>2 磋商文件、磋商文件的修改文件、成交供应商的响应文件、补充或修改的文件及澄清或承诺文件等，均为三方签订《合同》的组成部分，并与《合同》一并作为本磋商文件所列采购项目的互补性法律文件，与《合同》具有同等法律效力。</w:t>
      </w:r>
    </w:p>
    <w:p w14:paraId="5DC752DB">
      <w:pPr>
        <w:spacing w:line="360" w:lineRule="auto"/>
        <w:ind w:firstLine="480" w:firstLineChars="200"/>
        <w:rPr>
          <w:rFonts w:hint="eastAsia" w:ascii="宋体" w:hAnsi="宋体"/>
          <w:color w:val="auto"/>
          <w:sz w:val="24"/>
        </w:rPr>
      </w:pPr>
      <w:r>
        <w:rPr>
          <w:rFonts w:hint="eastAsia" w:ascii="宋体" w:hAnsi="宋体"/>
          <w:color w:val="auto"/>
          <w:sz w:val="24"/>
        </w:rPr>
        <w:t>22</w:t>
      </w:r>
      <w:r>
        <w:rPr>
          <w:rFonts w:ascii="宋体" w:hAnsi="宋体"/>
          <w:color w:val="auto"/>
          <w:sz w:val="24"/>
        </w:rPr>
        <w:t>.</w:t>
      </w:r>
      <w:r>
        <w:rPr>
          <w:rFonts w:hint="eastAsia" w:ascii="宋体" w:hAnsi="宋体"/>
          <w:color w:val="auto"/>
          <w:sz w:val="24"/>
        </w:rPr>
        <w:t xml:space="preserve">3 采购人在合同履行中，需追加与合同标的相同的货物或者服务的，在不改变合同其他条款的前提下，可与供应商协商签订补充合同，但所有补充合同的采购金额不得超过原合同采购金额的百分之十。 </w:t>
      </w:r>
    </w:p>
    <w:p w14:paraId="25577907">
      <w:pPr>
        <w:spacing w:line="360" w:lineRule="auto"/>
        <w:ind w:firstLine="480" w:firstLineChars="200"/>
        <w:rPr>
          <w:rFonts w:hint="eastAsia" w:ascii="宋体" w:hAnsi="宋体"/>
          <w:color w:val="auto"/>
          <w:sz w:val="24"/>
        </w:rPr>
      </w:pPr>
      <w:r>
        <w:rPr>
          <w:rFonts w:hint="eastAsia" w:ascii="宋体" w:hAnsi="宋体"/>
          <w:color w:val="auto"/>
          <w:sz w:val="24"/>
        </w:rPr>
        <w:t>22</w:t>
      </w:r>
      <w:r>
        <w:rPr>
          <w:rFonts w:ascii="宋体" w:hAnsi="宋体"/>
          <w:color w:val="auto"/>
          <w:sz w:val="24"/>
        </w:rPr>
        <w:t>.</w:t>
      </w:r>
      <w:r>
        <w:rPr>
          <w:rFonts w:hint="eastAsia" w:ascii="宋体" w:hAnsi="宋体"/>
          <w:color w:val="auto"/>
          <w:sz w:val="24"/>
        </w:rPr>
        <w:t>4 成交供应商因不可抗力或者自身原因不能履行政府采购合同的，采购人可以按照评审报告推荐的成交候选人顺序与之后的成交候选人签订合同。由此导致采购人从其他成交候选人中重新确定</w:t>
      </w:r>
      <w:r>
        <w:rPr>
          <w:rFonts w:hint="eastAsia" w:ascii="宋体" w:hAnsi="宋体"/>
          <w:color w:val="auto"/>
          <w:sz w:val="24"/>
          <w:lang w:eastAsia="zh-CN"/>
        </w:rPr>
        <w:t>成交供应商</w:t>
      </w:r>
      <w:r>
        <w:rPr>
          <w:rFonts w:hint="eastAsia" w:ascii="宋体" w:hAnsi="宋体"/>
          <w:color w:val="auto"/>
          <w:sz w:val="24"/>
        </w:rPr>
        <w:t>的，应当向采购人及招标代理机构赔偿可能产生的损失（如成交差价等）。</w:t>
      </w:r>
    </w:p>
    <w:p w14:paraId="57528CA0">
      <w:pPr>
        <w:spacing w:line="360" w:lineRule="auto"/>
        <w:outlineLvl w:val="1"/>
        <w:rPr>
          <w:rFonts w:hint="eastAsia" w:ascii="宋体" w:hAnsi="宋体"/>
          <w:b/>
          <w:color w:val="auto"/>
          <w:sz w:val="24"/>
        </w:rPr>
      </w:pPr>
      <w:bookmarkStart w:id="160" w:name="_Toc5686"/>
      <w:bookmarkStart w:id="161" w:name="_Toc3142"/>
      <w:r>
        <w:rPr>
          <w:rFonts w:hint="eastAsia" w:ascii="宋体" w:hAnsi="宋体"/>
          <w:b/>
          <w:color w:val="auto"/>
          <w:sz w:val="24"/>
        </w:rPr>
        <w:t>23. 项目行政监督部门</w:t>
      </w:r>
      <w:bookmarkEnd w:id="160"/>
      <w:bookmarkEnd w:id="161"/>
    </w:p>
    <w:p w14:paraId="2CF5B2FB">
      <w:pPr>
        <w:spacing w:line="360" w:lineRule="auto"/>
        <w:ind w:firstLine="480" w:firstLineChars="200"/>
        <w:rPr>
          <w:rFonts w:hint="eastAsia" w:ascii="宋体" w:hAnsi="宋体"/>
          <w:color w:val="auto"/>
          <w:sz w:val="24"/>
        </w:rPr>
      </w:pPr>
      <w:r>
        <w:rPr>
          <w:rFonts w:hint="eastAsia" w:ascii="宋体" w:hAnsi="宋体"/>
          <w:color w:val="auto"/>
          <w:sz w:val="24"/>
        </w:rPr>
        <w:t>23.1磋商项目行政监督部门可视情依法派员对本磋商活动的全程进行监督。</w:t>
      </w:r>
    </w:p>
    <w:p w14:paraId="3D47DCF8">
      <w:pPr>
        <w:spacing w:line="360" w:lineRule="auto"/>
        <w:ind w:firstLine="480" w:firstLineChars="200"/>
        <w:rPr>
          <w:rFonts w:hint="eastAsia" w:ascii="宋体" w:hAnsi="宋体"/>
          <w:b/>
          <w:color w:val="auto"/>
          <w:sz w:val="24"/>
        </w:rPr>
      </w:pPr>
      <w:r>
        <w:rPr>
          <w:rFonts w:hint="eastAsia" w:ascii="宋体" w:hAnsi="宋体"/>
          <w:color w:val="auto"/>
          <w:sz w:val="24"/>
        </w:rPr>
        <w:t>23.2供应商如对磋商活动有异议，可以按照有关规定向磋商须知前附表所述磋商项目行政监督部门投诉。</w:t>
      </w:r>
    </w:p>
    <w:p w14:paraId="6C87F941">
      <w:pPr>
        <w:spacing w:line="360" w:lineRule="auto"/>
        <w:outlineLvl w:val="1"/>
        <w:rPr>
          <w:rFonts w:hint="eastAsia" w:ascii="宋体" w:hAnsi="宋体"/>
          <w:b/>
          <w:color w:val="auto"/>
          <w:sz w:val="24"/>
        </w:rPr>
      </w:pPr>
      <w:bookmarkStart w:id="162" w:name="_Toc10515"/>
      <w:bookmarkStart w:id="163" w:name="_Toc11481"/>
      <w:r>
        <w:rPr>
          <w:rFonts w:hint="eastAsia" w:ascii="宋体" w:hAnsi="宋体"/>
          <w:b/>
          <w:color w:val="auto"/>
          <w:sz w:val="24"/>
        </w:rPr>
        <w:t>24. 采购活动中查询及使用信用记录有关问题</w:t>
      </w:r>
      <w:bookmarkEnd w:id="162"/>
      <w:bookmarkEnd w:id="163"/>
    </w:p>
    <w:p w14:paraId="02B84996">
      <w:pPr>
        <w:spacing w:line="360" w:lineRule="auto"/>
        <w:ind w:firstLine="480" w:firstLineChars="200"/>
        <w:rPr>
          <w:rFonts w:hint="eastAsia" w:ascii="宋体" w:hAnsi="宋体"/>
          <w:color w:val="auto"/>
          <w:sz w:val="24"/>
        </w:rPr>
      </w:pPr>
      <w:r>
        <w:rPr>
          <w:rFonts w:hint="eastAsia" w:ascii="宋体" w:hAnsi="宋体"/>
          <w:color w:val="auto"/>
          <w:sz w:val="24"/>
        </w:rPr>
        <w:t>24.1根据《财政部关于在采购活动中查询及使用信用记录有关问题的通知》（财库〔2016〕125号）文件规定，各级财政部门、采购人、采购代理机构应当通过“信用中国”网站（www.creditchina.gov.cn）、中国政府采购网（www.ccgp.gov.cn）等渠道查询相关主体信用记录，并采取必要方式做好信用信息查询记录和证据留存，信用信息查询记录及相关证据应当与其他采购文件一并保存。</w:t>
      </w:r>
    </w:p>
    <w:p w14:paraId="49DEC63F">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bookmarkStart w:id="164" w:name="_Toc31465"/>
    </w:p>
    <w:p w14:paraId="51BD8623">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590C86BE">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35D473B1">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25A1FA88">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3F9144F5">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36401070">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28188EFE">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469BDD8D">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0C910FED">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2BE2D058">
      <w:pPr>
        <w:pStyle w:val="26"/>
        <w:widowControl/>
        <w:spacing w:before="75" w:beforeAutospacing="0" w:after="75" w:afterAutospacing="0"/>
        <w:jc w:val="center"/>
        <w:outlineLvl w:val="1"/>
        <w:rPr>
          <w:rStyle w:val="34"/>
          <w:rFonts w:hint="eastAsia" w:asciiTheme="minorEastAsia" w:hAnsiTheme="minorEastAsia" w:cstheme="minorEastAsia"/>
          <w:color w:val="auto"/>
          <w:sz w:val="36"/>
          <w:szCs w:val="36"/>
        </w:rPr>
      </w:pPr>
    </w:p>
    <w:p w14:paraId="3131B6BB">
      <w:pPr>
        <w:pStyle w:val="26"/>
        <w:keepNext w:val="0"/>
        <w:keepLines w:val="0"/>
        <w:pageBreakBefore w:val="0"/>
        <w:widowControl/>
        <w:kinsoku/>
        <w:wordWrap/>
        <w:topLinePunct w:val="0"/>
        <w:bidi w:val="0"/>
        <w:adjustRightInd w:val="0"/>
        <w:snapToGrid w:val="0"/>
        <w:spacing w:beforeAutospacing="0" w:afterAutospacing="0" w:line="360" w:lineRule="auto"/>
        <w:jc w:val="center"/>
        <w:outlineLvl w:val="0"/>
        <w:rPr>
          <w:rFonts w:hint="eastAsia" w:asciiTheme="minorEastAsia" w:hAnsiTheme="minorEastAsia" w:cstheme="minorEastAsia"/>
          <w:color w:val="auto"/>
          <w:sz w:val="32"/>
          <w:szCs w:val="32"/>
        </w:rPr>
      </w:pPr>
      <w:bookmarkStart w:id="165" w:name="_Toc15056"/>
      <w:r>
        <w:rPr>
          <w:rStyle w:val="34"/>
          <w:rFonts w:hint="eastAsia" w:asciiTheme="minorEastAsia" w:hAnsiTheme="minorEastAsia" w:cstheme="minorEastAsia"/>
          <w:color w:val="auto"/>
          <w:sz w:val="32"/>
          <w:szCs w:val="32"/>
        </w:rPr>
        <w:t>第三章 磋商内容及要求</w:t>
      </w:r>
      <w:bookmarkEnd w:id="164"/>
      <w:bookmarkEnd w:id="165"/>
    </w:p>
    <w:p w14:paraId="2BA910D4">
      <w:pPr>
        <w:pStyle w:val="26"/>
        <w:keepNext w:val="0"/>
        <w:keepLines w:val="0"/>
        <w:pageBreakBefore w:val="0"/>
        <w:widowControl/>
        <w:kinsoku/>
        <w:wordWrap/>
        <w:topLinePunct w:val="0"/>
        <w:bidi w:val="0"/>
        <w:adjustRightInd w:val="0"/>
        <w:snapToGrid w:val="0"/>
        <w:spacing w:beforeAutospacing="0" w:afterAutospacing="0" w:line="360" w:lineRule="auto"/>
        <w:rPr>
          <w:rFonts w:hint="eastAsia" w:ascii="宋体" w:hAnsi="宋体" w:cs="宋体"/>
          <w:color w:val="auto"/>
          <w:sz w:val="24"/>
          <w:szCs w:val="24"/>
          <w:highlight w:val="none"/>
        </w:rPr>
      </w:pPr>
      <w:r>
        <w:rPr>
          <w:rFonts w:hint="eastAsia" w:ascii="宋体" w:hAnsi="宋体" w:cs="宋体"/>
          <w:b/>
          <w:bCs/>
          <w:color w:val="auto"/>
          <w:sz w:val="24"/>
          <w:szCs w:val="24"/>
          <w:highlight w:val="none"/>
        </w:rPr>
        <w:t>一、项目概况</w:t>
      </w:r>
    </w:p>
    <w:p w14:paraId="2AA7E5BD">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b/>
          <w:bCs/>
          <w:color w:val="auto"/>
          <w:sz w:val="24"/>
          <w:szCs w:val="24"/>
          <w:highlight w:val="none"/>
        </w:rPr>
      </w:pPr>
      <w:r>
        <w:rPr>
          <w:rFonts w:ascii="宋体" w:hAnsi="宋体" w:eastAsia="宋体" w:cs="宋体"/>
          <w:color w:val="auto"/>
          <w:sz w:val="24"/>
          <w:szCs w:val="24"/>
          <w:shd w:val="clear" w:color="auto" w:fill="FFFFFF"/>
        </w:rPr>
        <w:t>1、</w:t>
      </w:r>
      <w:r>
        <w:rPr>
          <w:rFonts w:ascii="宋体" w:hAnsi="宋体" w:eastAsia="宋体" w:cs="宋体"/>
          <w:color w:val="auto"/>
          <w:sz w:val="24"/>
          <w:szCs w:val="24"/>
        </w:rPr>
        <w:t>本项目拟采购的</w:t>
      </w:r>
      <w:r>
        <w:rPr>
          <w:rFonts w:hint="eastAsia" w:ascii="宋体" w:hAnsi="宋体" w:eastAsia="宋体" w:cs="宋体"/>
          <w:color w:val="auto"/>
          <w:sz w:val="24"/>
          <w:szCs w:val="24"/>
        </w:rPr>
        <w:t>福建省楚源服饰有限责任公司</w:t>
      </w:r>
      <w:r>
        <w:rPr>
          <w:rFonts w:ascii="宋体" w:hAnsi="宋体" w:eastAsia="宋体" w:cs="宋体"/>
          <w:color w:val="auto"/>
          <w:sz w:val="24"/>
          <w:szCs w:val="24"/>
        </w:rPr>
        <w:t>年度单项施</w:t>
      </w:r>
      <w:r>
        <w:rPr>
          <w:rFonts w:ascii="宋体" w:hAnsi="宋体" w:eastAsia="宋体" w:cs="宋体"/>
          <w:color w:val="auto"/>
          <w:sz w:val="24"/>
          <w:szCs w:val="24"/>
          <w:highlight w:val="none"/>
        </w:rPr>
        <w:t>工100万元以下项目施工单位采购项目是指单项合同估算金额在100万元以下工程施工项目，具体以</w:t>
      </w:r>
      <w:r>
        <w:rPr>
          <w:rFonts w:ascii="宋体" w:hAnsi="宋体" w:eastAsia="宋体" w:cs="宋体"/>
          <w:color w:val="auto"/>
          <w:sz w:val="24"/>
          <w:szCs w:val="24"/>
          <w:highlight w:val="none"/>
          <w:shd w:val="clear" w:color="auto" w:fill="FFFFFF"/>
        </w:rPr>
        <w:t>各单个项目</w:t>
      </w:r>
      <w:r>
        <w:rPr>
          <w:rFonts w:ascii="宋体" w:hAnsi="宋体" w:eastAsia="宋体" w:cs="宋体"/>
          <w:color w:val="auto"/>
          <w:sz w:val="24"/>
          <w:szCs w:val="24"/>
          <w:highlight w:val="none"/>
        </w:rPr>
        <w:t>工程量清单为准，施工图纸为依据。服务期限为1年，项目总额（合同价）不超过</w:t>
      </w:r>
      <w:r>
        <w:rPr>
          <w:rFonts w:hint="eastAsia" w:ascii="宋体" w:hAnsi="宋体" w:eastAsia="宋体" w:cs="宋体"/>
          <w:color w:val="auto"/>
          <w:sz w:val="24"/>
          <w:szCs w:val="24"/>
          <w:highlight w:val="none"/>
          <w:lang w:val="en-US" w:eastAsia="zh-CN"/>
        </w:rPr>
        <w:t>200</w:t>
      </w:r>
      <w:r>
        <w:rPr>
          <w:rFonts w:ascii="宋体" w:hAnsi="宋体" w:eastAsia="宋体" w:cs="宋体"/>
          <w:color w:val="auto"/>
          <w:sz w:val="24"/>
          <w:szCs w:val="24"/>
          <w:highlight w:val="none"/>
        </w:rPr>
        <w:t>万元。</w:t>
      </w:r>
      <w:r>
        <w:rPr>
          <w:rFonts w:ascii="宋体" w:hAnsi="宋体" w:eastAsia="宋体" w:cs="宋体"/>
          <w:b/>
          <w:bCs/>
          <w:sz w:val="24"/>
          <w:szCs w:val="24"/>
        </w:rPr>
        <w:t>本项目预算</w:t>
      </w:r>
      <w:r>
        <w:rPr>
          <w:rFonts w:hint="eastAsia" w:ascii="宋体" w:hAnsi="宋体" w:eastAsia="宋体" w:cs="宋体"/>
          <w:b/>
          <w:bCs/>
          <w:sz w:val="24"/>
          <w:szCs w:val="24"/>
          <w:lang w:val="en-US" w:eastAsia="zh-CN"/>
        </w:rPr>
        <w:t>金额200万元</w:t>
      </w:r>
      <w:r>
        <w:rPr>
          <w:rFonts w:ascii="宋体" w:hAnsi="宋体" w:eastAsia="宋体" w:cs="宋体"/>
          <w:b/>
          <w:bCs/>
          <w:sz w:val="24"/>
          <w:szCs w:val="24"/>
        </w:rPr>
        <w:t>仅</w:t>
      </w:r>
      <w:r>
        <w:rPr>
          <w:rFonts w:hint="eastAsia" w:ascii="宋体" w:hAnsi="宋体" w:eastAsia="宋体" w:cs="宋体"/>
          <w:b/>
          <w:bCs/>
          <w:sz w:val="24"/>
          <w:szCs w:val="24"/>
          <w:lang w:val="en-US" w:eastAsia="zh-CN"/>
        </w:rPr>
        <w:t>作为最高限额</w:t>
      </w:r>
      <w:r>
        <w:rPr>
          <w:rFonts w:hint="eastAsia" w:ascii="宋体" w:hAnsi="宋体" w:eastAsia="宋体" w:cs="宋体"/>
          <w:b/>
          <w:bCs/>
          <w:sz w:val="24"/>
          <w:szCs w:val="24"/>
          <w:lang w:eastAsia="zh-CN"/>
        </w:rPr>
        <w:t>，</w:t>
      </w:r>
      <w:r>
        <w:rPr>
          <w:rFonts w:hint="eastAsia" w:ascii="宋体" w:hAnsi="宋体" w:eastAsia="宋体" w:cs="宋体"/>
          <w:b/>
          <w:bCs/>
          <w:sz w:val="24"/>
          <w:szCs w:val="24"/>
        </w:rPr>
        <w:t>实际</w:t>
      </w:r>
      <w:r>
        <w:rPr>
          <w:rFonts w:hint="eastAsia" w:ascii="宋体" w:hAnsi="宋体" w:eastAsia="宋体" w:cs="宋体"/>
          <w:b/>
          <w:bCs/>
          <w:sz w:val="24"/>
          <w:szCs w:val="24"/>
          <w:lang w:val="en-US" w:eastAsia="zh-CN"/>
        </w:rPr>
        <w:t>执行</w:t>
      </w:r>
      <w:r>
        <w:rPr>
          <w:rFonts w:hint="eastAsia" w:ascii="宋体" w:hAnsi="宋体" w:eastAsia="宋体" w:cs="宋体"/>
          <w:b/>
          <w:bCs/>
          <w:sz w:val="24"/>
          <w:szCs w:val="24"/>
        </w:rPr>
        <w:t>金额以服务期</w:t>
      </w:r>
      <w:r>
        <w:rPr>
          <w:rFonts w:hint="eastAsia" w:ascii="宋体" w:hAnsi="宋体" w:eastAsia="宋体" w:cs="宋体"/>
          <w:b/>
          <w:bCs/>
          <w:sz w:val="24"/>
          <w:szCs w:val="24"/>
          <w:lang w:val="en-US" w:eastAsia="zh-CN"/>
        </w:rPr>
        <w:t>内</w:t>
      </w:r>
      <w:r>
        <w:rPr>
          <w:rFonts w:hint="eastAsia" w:ascii="宋体" w:hAnsi="宋体" w:eastAsia="宋体" w:cs="宋体"/>
          <w:b/>
          <w:bCs/>
          <w:sz w:val="24"/>
          <w:szCs w:val="24"/>
        </w:rPr>
        <w:t>具体实施项目为准</w:t>
      </w:r>
      <w:bookmarkStart w:id="175" w:name="_GoBack"/>
      <w:bookmarkEnd w:id="175"/>
      <w:r>
        <w:rPr>
          <w:rFonts w:ascii="宋体" w:hAnsi="宋体" w:eastAsia="宋体" w:cs="宋体"/>
          <w:b/>
          <w:bCs/>
          <w:sz w:val="24"/>
          <w:szCs w:val="24"/>
        </w:rPr>
        <w:t>。</w:t>
      </w:r>
      <w:r>
        <w:rPr>
          <w:rFonts w:hint="eastAsia" w:ascii="宋体" w:hAnsi="宋体" w:eastAsia="宋体" w:cs="宋体"/>
          <w:b/>
          <w:bCs/>
          <w:sz w:val="24"/>
          <w:szCs w:val="24"/>
          <w:lang w:val="en-US" w:eastAsia="zh-CN"/>
        </w:rPr>
        <w:t>供应商</w:t>
      </w:r>
      <w:r>
        <w:rPr>
          <w:rFonts w:ascii="宋体" w:hAnsi="宋体" w:eastAsia="宋体" w:cs="宋体"/>
          <w:b/>
          <w:bCs/>
          <w:sz w:val="24"/>
          <w:szCs w:val="24"/>
        </w:rPr>
        <w:t>报价时需充分考虑预算的不确定性，最终结算按实际</w:t>
      </w:r>
      <w:r>
        <w:rPr>
          <w:rFonts w:hint="eastAsia" w:ascii="宋体" w:hAnsi="宋体" w:eastAsia="宋体" w:cs="宋体"/>
          <w:b/>
          <w:bCs/>
          <w:sz w:val="24"/>
          <w:szCs w:val="24"/>
          <w:lang w:val="en-US" w:eastAsia="zh-CN"/>
        </w:rPr>
        <w:t>执行项目</w:t>
      </w:r>
      <w:r>
        <w:rPr>
          <w:rFonts w:ascii="宋体" w:hAnsi="宋体" w:eastAsia="宋体" w:cs="宋体"/>
          <w:b/>
          <w:bCs/>
          <w:sz w:val="24"/>
          <w:szCs w:val="24"/>
        </w:rPr>
        <w:t>据实核算。</w:t>
      </w:r>
    </w:p>
    <w:p w14:paraId="46DC2F81">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color w:val="auto"/>
          <w:sz w:val="24"/>
          <w:szCs w:val="24"/>
          <w:highlight w:val="none"/>
        </w:rPr>
      </w:pPr>
      <w:r>
        <w:rPr>
          <w:rFonts w:ascii="宋体" w:hAnsi="宋体" w:eastAsia="宋体" w:cs="宋体"/>
          <w:color w:val="auto"/>
          <w:sz w:val="24"/>
          <w:szCs w:val="24"/>
          <w:highlight w:val="none"/>
          <w:shd w:val="clear" w:color="auto" w:fill="FFFFFF"/>
        </w:rPr>
        <w:t>2、本项目各单个项目的预算均依据设计单位提供的设计图纸或设计说明等，由采购人委托造价咨询单位编制预算，不存在由议价、估价等产生的造价。</w:t>
      </w:r>
    </w:p>
    <w:p w14:paraId="3C416DDB">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color w:val="auto"/>
          <w:sz w:val="24"/>
          <w:szCs w:val="24"/>
          <w:highlight w:val="none"/>
        </w:rPr>
      </w:pPr>
      <w:r>
        <w:rPr>
          <w:rFonts w:ascii="宋体" w:hAnsi="宋体" w:eastAsia="宋体" w:cs="宋体"/>
          <w:color w:val="auto"/>
          <w:sz w:val="24"/>
          <w:szCs w:val="24"/>
          <w:highlight w:val="none"/>
          <w:shd w:val="clear" w:color="auto" w:fill="FFFFFF"/>
        </w:rPr>
        <w:t>3、采购人根据竞争性磋商文件、响应文件等与成交供应商签订采购合同，单个项目（合同估算价100万元以下）双方根据采购合同签订单项施工协议，单项施工协议造价为成交供应商成交价下浮后造价。</w:t>
      </w:r>
      <w:r>
        <w:rPr>
          <w:rFonts w:ascii="宋体" w:hAnsi="宋体" w:eastAsia="宋体" w:cs="宋体"/>
          <w:color w:val="auto"/>
          <w:sz w:val="24"/>
          <w:szCs w:val="24"/>
          <w:highlight w:val="none"/>
        </w:rPr>
        <w:t>各项目合同价总额不超过</w:t>
      </w:r>
      <w:r>
        <w:rPr>
          <w:rFonts w:hint="eastAsia" w:ascii="宋体" w:hAnsi="宋体" w:eastAsia="宋体" w:cs="宋体"/>
          <w:color w:val="auto"/>
          <w:sz w:val="24"/>
          <w:szCs w:val="24"/>
          <w:highlight w:val="none"/>
          <w:lang w:val="en-US" w:eastAsia="zh-CN"/>
        </w:rPr>
        <w:t>200</w:t>
      </w:r>
      <w:r>
        <w:rPr>
          <w:rFonts w:ascii="宋体" w:hAnsi="宋体" w:eastAsia="宋体" w:cs="宋体"/>
          <w:color w:val="auto"/>
          <w:sz w:val="24"/>
          <w:szCs w:val="24"/>
          <w:highlight w:val="none"/>
        </w:rPr>
        <w:t>万元。</w:t>
      </w:r>
      <w:r>
        <w:rPr>
          <w:rFonts w:ascii="宋体" w:hAnsi="宋体" w:eastAsia="宋体" w:cs="宋体"/>
          <w:color w:val="auto"/>
          <w:sz w:val="24"/>
          <w:szCs w:val="24"/>
          <w:highlight w:val="none"/>
          <w:shd w:val="clear" w:color="auto" w:fill="FFFFFF"/>
        </w:rPr>
        <w:t>采购单位付款前，成交</w:t>
      </w:r>
      <w:r>
        <w:rPr>
          <w:rFonts w:hint="eastAsia" w:ascii="宋体" w:hAnsi="宋体" w:eastAsia="宋体" w:cs="宋体"/>
          <w:color w:val="auto"/>
          <w:sz w:val="24"/>
          <w:szCs w:val="24"/>
          <w:highlight w:val="none"/>
          <w:shd w:val="clear" w:color="auto" w:fill="FFFFFF"/>
          <w:lang w:val="en-US" w:eastAsia="zh-CN"/>
        </w:rPr>
        <w:t>供应商</w:t>
      </w:r>
      <w:r>
        <w:rPr>
          <w:rFonts w:ascii="宋体" w:hAnsi="宋体" w:eastAsia="宋体" w:cs="宋体"/>
          <w:color w:val="auto"/>
          <w:sz w:val="24"/>
          <w:szCs w:val="24"/>
          <w:highlight w:val="none"/>
          <w:shd w:val="clear" w:color="auto" w:fill="FFFFFF"/>
        </w:rPr>
        <w:t>须提供合法有效的增值税</w:t>
      </w:r>
      <w:r>
        <w:rPr>
          <w:rFonts w:hint="eastAsia" w:ascii="宋体" w:hAnsi="宋体" w:eastAsia="宋体" w:cs="宋体"/>
          <w:color w:val="auto"/>
          <w:sz w:val="24"/>
          <w:szCs w:val="24"/>
          <w:highlight w:val="none"/>
          <w:shd w:val="clear" w:color="auto" w:fill="FFFFFF"/>
          <w:lang w:val="en-US" w:eastAsia="zh-CN"/>
        </w:rPr>
        <w:t>专用</w:t>
      </w:r>
      <w:r>
        <w:rPr>
          <w:rFonts w:ascii="宋体" w:hAnsi="宋体" w:eastAsia="宋体" w:cs="宋体"/>
          <w:color w:val="auto"/>
          <w:sz w:val="24"/>
          <w:szCs w:val="24"/>
          <w:highlight w:val="none"/>
          <w:shd w:val="clear" w:color="auto" w:fill="FFFFFF"/>
        </w:rPr>
        <w:t>发票。</w:t>
      </w:r>
    </w:p>
    <w:p w14:paraId="43A76A9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0"/>
        <w:rPr>
          <w:b w:val="0"/>
          <w:bCs/>
          <w:color w:val="auto"/>
          <w:sz w:val="24"/>
          <w:szCs w:val="24"/>
          <w:highlight w:val="none"/>
        </w:rPr>
      </w:pPr>
      <w:bookmarkStart w:id="166" w:name="_Toc10316"/>
      <w:r>
        <w:rPr>
          <w:rFonts w:ascii="宋体" w:hAnsi="宋体" w:eastAsia="宋体" w:cs="宋体"/>
          <w:b w:val="0"/>
          <w:bCs/>
          <w:color w:val="auto"/>
          <w:sz w:val="24"/>
          <w:szCs w:val="24"/>
          <w:highlight w:val="none"/>
          <w:shd w:val="clear" w:color="auto" w:fill="FFFFFF"/>
        </w:rPr>
        <w:t>4、供应商应对本项目具体情况了解，为本项目制定有关方案、措施及制度，须为本项目配备相关人员，积极为本项目提供优质服务。</w:t>
      </w:r>
      <w:bookmarkEnd w:id="166"/>
    </w:p>
    <w:p w14:paraId="1DD28531">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outlineLvl w:val="0"/>
        <w:rPr>
          <w:color w:val="auto"/>
          <w:sz w:val="24"/>
          <w:szCs w:val="24"/>
          <w:highlight w:val="none"/>
        </w:rPr>
      </w:pPr>
      <w:bookmarkStart w:id="167" w:name="_Toc12978"/>
      <w:r>
        <w:rPr>
          <w:rFonts w:ascii="宋体" w:hAnsi="宋体" w:eastAsia="宋体" w:cs="宋体"/>
          <w:b/>
          <w:color w:val="auto"/>
          <w:sz w:val="24"/>
          <w:szCs w:val="24"/>
          <w:highlight w:val="none"/>
          <w:shd w:val="clear" w:color="auto" w:fill="FFFFFF"/>
        </w:rPr>
        <w:t>5、报价要求：</w:t>
      </w:r>
      <w:bookmarkEnd w:id="167"/>
    </w:p>
    <w:p w14:paraId="76AD05E9">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5.1本项目按统一的“下浮率”进行报价，</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val="en-US" w:eastAsia="zh-CN"/>
        </w:rPr>
        <w:t>下浮率</w:t>
      </w:r>
      <w:r>
        <w:rPr>
          <w:rFonts w:hint="eastAsia" w:ascii="宋体" w:hAnsi="宋体" w:eastAsia="宋体" w:cs="宋体"/>
          <w:color w:val="auto"/>
          <w:sz w:val="24"/>
          <w:szCs w:val="24"/>
          <w:highlight w:val="none"/>
        </w:rPr>
        <w:t>”作为各单项工程结算的下浮率依据。“</w:t>
      </w:r>
      <w:r>
        <w:rPr>
          <w:rFonts w:ascii="宋体" w:hAnsi="宋体" w:eastAsia="宋体" w:cs="宋体"/>
          <w:color w:val="auto"/>
          <w:sz w:val="24"/>
          <w:szCs w:val="24"/>
          <w:highlight w:val="none"/>
        </w:rPr>
        <w:t>下浮率</w:t>
      </w:r>
      <w:r>
        <w:rPr>
          <w:rFonts w:hint="eastAsia" w:ascii="宋体" w:hAnsi="宋体" w:eastAsia="宋体" w:cs="宋体"/>
          <w:color w:val="auto"/>
          <w:sz w:val="24"/>
          <w:szCs w:val="24"/>
          <w:highlight w:val="none"/>
        </w:rPr>
        <w:t>”报价数值保留至小数点后两位，例如为</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p>
    <w:p w14:paraId="6F2C499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color w:val="auto"/>
          <w:sz w:val="24"/>
          <w:szCs w:val="24"/>
          <w:highlight w:val="none"/>
        </w:rPr>
      </w:pPr>
      <w:r>
        <w:rPr>
          <w:rFonts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若合同期满或在合同期内采购总金额已经达到本项目预算金额，</w:t>
      </w:r>
      <w:r>
        <w:rPr>
          <w:rFonts w:hint="eastAsia" w:ascii="宋体" w:hAnsi="宋体" w:eastAsia="宋体" w:cs="宋体"/>
          <w:color w:val="auto"/>
          <w:sz w:val="24"/>
          <w:szCs w:val="24"/>
          <w:highlight w:val="none"/>
          <w:lang w:eastAsia="zh-CN"/>
        </w:rPr>
        <w:t>则合同服务承接期限自动终止（仅承接期限终止，单项施工项目仍按合同条款执行）</w:t>
      </w:r>
      <w:r>
        <w:rPr>
          <w:rFonts w:ascii="宋体" w:hAnsi="宋体" w:eastAsia="宋体" w:cs="宋体"/>
          <w:color w:val="auto"/>
          <w:sz w:val="24"/>
          <w:szCs w:val="24"/>
          <w:highlight w:val="none"/>
        </w:rPr>
        <w:t>。</w:t>
      </w:r>
    </w:p>
    <w:p w14:paraId="784E318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color w:val="auto"/>
          <w:sz w:val="24"/>
          <w:szCs w:val="24"/>
        </w:rPr>
      </w:pPr>
      <w:r>
        <w:rPr>
          <w:rFonts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在合同履行过程中，成交供应商应当根据采购人下达的每一单项工程任务，严</w:t>
      </w:r>
      <w:r>
        <w:rPr>
          <w:rFonts w:ascii="宋体" w:hAnsi="宋体" w:eastAsia="宋体" w:cs="宋体"/>
          <w:color w:val="auto"/>
          <w:sz w:val="24"/>
          <w:szCs w:val="24"/>
        </w:rPr>
        <w:t>格遵照采购人对工期、质量、工程材料等方面的要求，按时完成施工，并按照下列规则进行合同价结算：</w:t>
      </w:r>
    </w:p>
    <w:p w14:paraId="13B45B5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单个施工项目合同价及结算价</w:t>
      </w:r>
    </w:p>
    <w:p w14:paraId="63BFA599">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color w:val="auto"/>
          <w:sz w:val="24"/>
          <w:szCs w:val="24"/>
        </w:rPr>
      </w:pPr>
      <w:r>
        <w:rPr>
          <w:rFonts w:ascii="宋体" w:hAnsi="宋体" w:eastAsia="宋体" w:cs="宋体"/>
          <w:color w:val="auto"/>
          <w:sz w:val="24"/>
          <w:szCs w:val="24"/>
        </w:rPr>
        <w:t>合同期内单个施工项目合同价=单个施工项目预算审核价×（1-下浮率）</w:t>
      </w:r>
    </w:p>
    <w:p w14:paraId="174E808F">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color w:val="auto"/>
          <w:sz w:val="24"/>
          <w:szCs w:val="24"/>
          <w:highlight w:val="none"/>
        </w:rPr>
      </w:pPr>
      <w:r>
        <w:rPr>
          <w:rFonts w:ascii="宋体" w:hAnsi="宋体" w:eastAsia="宋体" w:cs="宋体"/>
          <w:color w:val="auto"/>
          <w:sz w:val="24"/>
          <w:szCs w:val="24"/>
          <w:shd w:val="clear" w:color="auto" w:fill="FFFFFF"/>
        </w:rPr>
        <w:t>5.</w:t>
      </w:r>
      <w:r>
        <w:rPr>
          <w:rFonts w:hint="eastAsia" w:ascii="宋体" w:hAnsi="宋体" w:eastAsia="宋体" w:cs="宋体"/>
          <w:color w:val="auto"/>
          <w:sz w:val="24"/>
          <w:szCs w:val="24"/>
          <w:shd w:val="clear" w:color="auto" w:fill="FFFFFF"/>
          <w:lang w:val="en-US" w:eastAsia="zh-CN"/>
        </w:rPr>
        <w:t>4</w:t>
      </w:r>
      <w:r>
        <w:rPr>
          <w:rFonts w:ascii="宋体" w:hAnsi="宋体" w:eastAsia="宋体" w:cs="宋体"/>
          <w:color w:val="auto"/>
          <w:sz w:val="24"/>
          <w:szCs w:val="24"/>
          <w:shd w:val="clear" w:color="auto" w:fill="FFFFFF"/>
        </w:rPr>
        <w:t>本项目施工场所为特</w:t>
      </w:r>
      <w:r>
        <w:rPr>
          <w:rFonts w:ascii="宋体" w:hAnsi="宋体" w:eastAsia="宋体" w:cs="宋体"/>
          <w:color w:val="auto"/>
          <w:sz w:val="24"/>
          <w:szCs w:val="24"/>
          <w:highlight w:val="none"/>
          <w:shd w:val="clear" w:color="auto" w:fill="FFFFFF"/>
        </w:rPr>
        <w:t>殊区域，</w:t>
      </w:r>
      <w:r>
        <w:rPr>
          <w:rFonts w:hint="eastAsia" w:ascii="宋体" w:hAnsi="宋体" w:eastAsia="宋体" w:cs="宋体"/>
          <w:color w:val="auto"/>
          <w:sz w:val="24"/>
          <w:szCs w:val="24"/>
          <w:highlight w:val="none"/>
          <w:shd w:val="clear" w:color="auto" w:fill="FFFFFF"/>
          <w:lang w:val="en-US" w:eastAsia="zh-CN"/>
        </w:rPr>
        <w:t>成交供应商</w:t>
      </w:r>
      <w:r>
        <w:rPr>
          <w:rFonts w:ascii="宋体" w:hAnsi="宋体" w:eastAsia="宋体" w:cs="宋体"/>
          <w:color w:val="auto"/>
          <w:sz w:val="24"/>
          <w:szCs w:val="24"/>
          <w:highlight w:val="none"/>
          <w:shd w:val="clear" w:color="auto" w:fill="FFFFFF"/>
        </w:rPr>
        <w:t>需遵守</w:t>
      </w:r>
      <w:r>
        <w:rPr>
          <w:rFonts w:hint="eastAsia" w:ascii="宋体" w:hAnsi="宋体" w:eastAsia="宋体" w:cs="宋体"/>
          <w:color w:val="auto"/>
          <w:sz w:val="24"/>
          <w:szCs w:val="24"/>
          <w:highlight w:val="none"/>
          <w:shd w:val="clear" w:color="auto" w:fill="FFFFFF"/>
          <w:lang w:val="en-US" w:eastAsia="zh-CN"/>
        </w:rPr>
        <w:t>采购人</w:t>
      </w:r>
      <w:r>
        <w:rPr>
          <w:rFonts w:ascii="宋体" w:hAnsi="宋体" w:eastAsia="宋体" w:cs="宋体"/>
          <w:color w:val="auto"/>
          <w:sz w:val="24"/>
          <w:szCs w:val="24"/>
          <w:highlight w:val="none"/>
          <w:shd w:val="clear" w:color="auto" w:fill="FFFFFF"/>
        </w:rPr>
        <w:t>的管理规定（如：封闭区施工不得携带香烟、打火机、钱包、手机、电子通信工具等违禁品），施工人员及设备进出须</w:t>
      </w:r>
      <w:r>
        <w:rPr>
          <w:rFonts w:hint="eastAsia" w:ascii="宋体" w:hAnsi="宋体" w:eastAsia="宋体" w:cs="宋体"/>
          <w:color w:val="auto"/>
          <w:sz w:val="24"/>
          <w:szCs w:val="24"/>
          <w:highlight w:val="none"/>
          <w:shd w:val="clear" w:color="auto" w:fill="FFFFFF"/>
          <w:lang w:val="en-US" w:eastAsia="zh-CN"/>
        </w:rPr>
        <w:t>采购人</w:t>
      </w:r>
      <w:r>
        <w:rPr>
          <w:rFonts w:ascii="宋体" w:hAnsi="宋体" w:eastAsia="宋体" w:cs="宋体"/>
          <w:color w:val="auto"/>
          <w:sz w:val="24"/>
          <w:szCs w:val="24"/>
          <w:highlight w:val="none"/>
          <w:shd w:val="clear" w:color="auto" w:fill="FFFFFF"/>
        </w:rPr>
        <w:t>审批并遵守安检规定，按照</w:t>
      </w:r>
      <w:r>
        <w:rPr>
          <w:rFonts w:hint="eastAsia" w:ascii="宋体" w:hAnsi="宋体" w:eastAsia="宋体" w:cs="宋体"/>
          <w:color w:val="auto"/>
          <w:sz w:val="24"/>
          <w:szCs w:val="24"/>
          <w:highlight w:val="none"/>
          <w:shd w:val="clear" w:color="auto" w:fill="FFFFFF"/>
          <w:lang w:val="en-US" w:eastAsia="zh-CN"/>
        </w:rPr>
        <w:t>采购人</w:t>
      </w:r>
      <w:r>
        <w:rPr>
          <w:rFonts w:ascii="宋体" w:hAnsi="宋体" w:eastAsia="宋体" w:cs="宋体"/>
          <w:color w:val="auto"/>
          <w:sz w:val="24"/>
          <w:szCs w:val="24"/>
          <w:highlight w:val="none"/>
          <w:shd w:val="clear" w:color="auto" w:fill="FFFFFF"/>
        </w:rPr>
        <w:t>时间安排进行施工，</w:t>
      </w:r>
      <w:r>
        <w:rPr>
          <w:rFonts w:hint="eastAsia" w:ascii="宋体" w:hAnsi="宋体" w:eastAsia="宋体" w:cs="宋体"/>
          <w:color w:val="auto"/>
          <w:sz w:val="24"/>
          <w:szCs w:val="24"/>
          <w:highlight w:val="none"/>
          <w:shd w:val="clear" w:color="auto" w:fill="FFFFFF"/>
        </w:rPr>
        <w:t>做好加班准备</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各供应商应根据企业的自身能力、施工经验、本项目大部分施工现场在</w:t>
      </w:r>
      <w:r>
        <w:rPr>
          <w:rFonts w:hint="eastAsia" w:ascii="宋体" w:hAnsi="宋体" w:eastAsia="宋体" w:cs="宋体"/>
          <w:color w:val="auto"/>
          <w:sz w:val="24"/>
          <w:szCs w:val="24"/>
          <w:highlight w:val="none"/>
          <w:shd w:val="clear" w:color="auto" w:fill="FFFFFF"/>
        </w:rPr>
        <w:t>封闭管理区域</w:t>
      </w:r>
      <w:r>
        <w:rPr>
          <w:rFonts w:ascii="宋体" w:hAnsi="宋体" w:eastAsia="宋体" w:cs="宋体"/>
          <w:color w:val="auto"/>
          <w:sz w:val="24"/>
          <w:szCs w:val="24"/>
          <w:highlight w:val="none"/>
          <w:shd w:val="clear" w:color="auto" w:fill="FFFFFF"/>
        </w:rPr>
        <w:t>内存在不确定因素等情况综合考虑，在认真测算自身成本和费用的基础上，进行合理报价。</w:t>
      </w:r>
    </w:p>
    <w:p w14:paraId="77282643">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textAlignment w:val="auto"/>
        <w:rPr>
          <w:color w:val="auto"/>
          <w:sz w:val="24"/>
          <w:szCs w:val="24"/>
        </w:rPr>
      </w:pPr>
      <w:r>
        <w:rPr>
          <w:rFonts w:ascii="宋体" w:hAnsi="宋体" w:eastAsia="宋体" w:cs="宋体"/>
          <w:color w:val="auto"/>
          <w:sz w:val="24"/>
          <w:szCs w:val="24"/>
          <w:shd w:val="clear" w:color="auto" w:fill="FFFFFF"/>
        </w:rPr>
        <w:t>5.</w:t>
      </w:r>
      <w:r>
        <w:rPr>
          <w:rFonts w:hint="eastAsia" w:ascii="宋体" w:hAnsi="宋体" w:eastAsia="宋体" w:cs="宋体"/>
          <w:color w:val="auto"/>
          <w:sz w:val="24"/>
          <w:szCs w:val="24"/>
          <w:shd w:val="clear" w:color="auto" w:fill="FFFFFF"/>
          <w:lang w:val="en-US" w:eastAsia="zh-CN"/>
        </w:rPr>
        <w:t>5</w:t>
      </w:r>
      <w:r>
        <w:rPr>
          <w:rFonts w:ascii="宋体" w:hAnsi="宋体" w:eastAsia="宋体" w:cs="宋体"/>
          <w:color w:val="auto"/>
          <w:sz w:val="24"/>
          <w:szCs w:val="24"/>
          <w:shd w:val="clear" w:color="auto" w:fill="FFFFFF"/>
        </w:rPr>
        <w:t>本项目为年度小规模工程施工项目，供应商须具备多个项目同时施工的能力。</w:t>
      </w:r>
    </w:p>
    <w:p w14:paraId="10DAD084">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ascii="宋体" w:hAnsi="宋体" w:eastAsia="宋体" w:cs="宋体"/>
          <w:color w:val="auto"/>
          <w:sz w:val="24"/>
          <w:szCs w:val="24"/>
          <w:shd w:val="clear" w:color="auto" w:fill="FFFFFF"/>
        </w:rPr>
      </w:pPr>
      <w:r>
        <w:rPr>
          <w:rFonts w:ascii="宋体" w:hAnsi="宋体" w:eastAsia="宋体" w:cs="宋体"/>
          <w:color w:val="auto"/>
          <w:sz w:val="24"/>
          <w:szCs w:val="24"/>
          <w:shd w:val="clear" w:color="auto" w:fill="FFFFFF"/>
        </w:rPr>
        <w:t>5.</w:t>
      </w:r>
      <w:r>
        <w:rPr>
          <w:rFonts w:hint="eastAsia" w:ascii="宋体" w:hAnsi="宋体" w:eastAsia="宋体" w:cs="宋体"/>
          <w:color w:val="auto"/>
          <w:sz w:val="24"/>
          <w:szCs w:val="24"/>
          <w:shd w:val="clear" w:color="auto" w:fill="FFFFFF"/>
          <w:lang w:val="en-US" w:eastAsia="zh-CN"/>
        </w:rPr>
        <w:t>6</w:t>
      </w:r>
      <w:r>
        <w:rPr>
          <w:rFonts w:ascii="宋体" w:hAnsi="宋体" w:eastAsia="宋体" w:cs="宋体"/>
          <w:color w:val="auto"/>
          <w:sz w:val="24"/>
          <w:szCs w:val="24"/>
          <w:shd w:val="clear" w:color="auto" w:fill="FFFFFF"/>
        </w:rPr>
        <w:t>单个项目合同方式：采取固定总价合同。</w:t>
      </w:r>
    </w:p>
    <w:p w14:paraId="459837C6">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5.7不可竞争费用应严格执行有关费用标准，不得降低标准进行竞标。施工过程中若有变更，经采购人同意后，以实际施工工程量签证为准，按实结算。</w:t>
      </w:r>
    </w:p>
    <w:p w14:paraId="4ED59368">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left"/>
        <w:textAlignment w:val="auto"/>
        <w:rPr>
          <w:b/>
          <w:bCs/>
          <w:color w:val="auto"/>
          <w:sz w:val="24"/>
          <w:szCs w:val="24"/>
          <w:highlight w:val="none"/>
        </w:rPr>
      </w:pPr>
      <w:r>
        <w:rPr>
          <w:rFonts w:ascii="宋体" w:hAnsi="宋体" w:eastAsia="宋体" w:cs="宋体"/>
          <w:b/>
          <w:bCs/>
          <w:color w:val="auto"/>
          <w:sz w:val="24"/>
          <w:szCs w:val="24"/>
          <w:highlight w:val="none"/>
          <w:shd w:val="clear" w:color="auto" w:fill="FFFFFF"/>
        </w:rPr>
        <w:t>6、供应商在响应文件中须承诺：非采购单位</w:t>
      </w:r>
      <w:r>
        <w:rPr>
          <w:rFonts w:hint="eastAsia" w:ascii="宋体" w:hAnsi="宋体" w:eastAsia="宋体" w:cs="宋体"/>
          <w:b/>
          <w:bCs/>
          <w:color w:val="auto"/>
          <w:sz w:val="24"/>
          <w:szCs w:val="24"/>
          <w:highlight w:val="none"/>
          <w:shd w:val="clear" w:color="auto" w:fill="FFFFFF"/>
          <w:lang w:val="en-US" w:eastAsia="zh-CN"/>
        </w:rPr>
        <w:t>2026至2027年度</w:t>
      </w:r>
      <w:r>
        <w:rPr>
          <w:rFonts w:ascii="宋体" w:hAnsi="宋体" w:eastAsia="宋体" w:cs="宋体"/>
          <w:b/>
          <w:bCs/>
          <w:color w:val="auto"/>
          <w:sz w:val="24"/>
          <w:szCs w:val="24"/>
          <w:highlight w:val="none"/>
          <w:shd w:val="clear" w:color="auto" w:fill="FFFFFF"/>
        </w:rPr>
        <w:t>“工程项目设计单位、工程项目预算编制单位、工程项目预算审核单位、工程项目结算审核单位、工程项目监理单位”其中一个项目的成交供应商，且与上述五个项目的成交供应商无相关联关系，否则按无效响应处理。供应商</w:t>
      </w:r>
      <w:r>
        <w:rPr>
          <w:rFonts w:hint="eastAsia" w:ascii="宋体" w:hAnsi="宋体" w:eastAsia="宋体" w:cs="宋体"/>
          <w:b/>
          <w:bCs/>
          <w:color w:val="auto"/>
          <w:sz w:val="24"/>
          <w:szCs w:val="24"/>
          <w:highlight w:val="none"/>
          <w:shd w:val="clear" w:color="auto" w:fill="FFFFFF"/>
          <w:lang w:val="en-US" w:eastAsia="zh-CN"/>
        </w:rPr>
        <w:t>响应</w:t>
      </w:r>
      <w:r>
        <w:rPr>
          <w:rFonts w:ascii="宋体" w:hAnsi="宋体" w:eastAsia="宋体" w:cs="宋体"/>
          <w:b/>
          <w:bCs/>
          <w:color w:val="auto"/>
          <w:sz w:val="24"/>
          <w:szCs w:val="24"/>
          <w:highlight w:val="none"/>
          <w:shd w:val="clear" w:color="auto" w:fill="FFFFFF"/>
        </w:rPr>
        <w:t>时须特别注意此项要求。</w:t>
      </w:r>
    </w:p>
    <w:p w14:paraId="79F5076A">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rPr>
        <w:t>7、合同履行期间若遇本项目相关标准遇国家重新修订，自新标准实行之日起采用新标准执行。</w:t>
      </w:r>
    </w:p>
    <w:p w14:paraId="1DC784F1">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本竞争性磋商文件的内容若与国家或行业有关标准、规范有矛盾，则以国家或行业标准、规范为准，遇国家修改标准，自新标准施行之日起采用新标准。</w:t>
      </w:r>
    </w:p>
    <w:p w14:paraId="6505D97F">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供应商务必仔细阅读竞争性磋商文件中所规定的，其中包括服务内容及要求在内的所有细则。</w:t>
      </w:r>
    </w:p>
    <w:p w14:paraId="3A045541">
      <w:pPr>
        <w:pStyle w:val="26"/>
        <w:keepNext w:val="0"/>
        <w:keepLines w:val="0"/>
        <w:pageBreakBefore w:val="0"/>
        <w:kinsoku/>
        <w:wordWrap/>
        <w:overflowPunct/>
        <w:topLinePunct w:val="0"/>
        <w:autoSpaceDE/>
        <w:autoSpaceDN/>
        <w:bidi w:val="0"/>
        <w:adjustRightInd w:val="0"/>
        <w:snapToGrid w:val="0"/>
        <w:spacing w:beforeAutospacing="0" w:afterAutospacing="0" w:line="360" w:lineRule="auto"/>
        <w:textAlignment w:val="auto"/>
        <w:rPr>
          <w:rFonts w:hint="eastAsia" w:ascii="宋体" w:hAnsi="宋体" w:eastAsia="宋体" w:cs="宋体"/>
          <w:sz w:val="24"/>
          <w:szCs w:val="24"/>
        </w:rPr>
      </w:pPr>
      <w:r>
        <w:rPr>
          <w:rFonts w:hint="eastAsia" w:cs="宋体"/>
          <w:b/>
          <w:sz w:val="24"/>
          <w:szCs w:val="24"/>
        </w:rPr>
        <w:t>二、</w:t>
      </w:r>
      <w:r>
        <w:rPr>
          <w:rFonts w:hint="eastAsia" w:ascii="宋体" w:hAnsi="宋体" w:eastAsia="宋体" w:cs="宋体"/>
          <w:b/>
          <w:sz w:val="24"/>
          <w:szCs w:val="24"/>
        </w:rPr>
        <w:t>技术和服务要求</w:t>
      </w:r>
      <w:r>
        <w:rPr>
          <w:rStyle w:val="34"/>
          <w:rFonts w:hint="eastAsia" w:ascii="宋体" w:hAnsi="宋体" w:eastAsia="宋体" w:cs="宋体"/>
          <w:sz w:val="24"/>
          <w:szCs w:val="24"/>
        </w:rPr>
        <w:t>（以“★”标示的内容为不允许负偏离的实质性要求）</w:t>
      </w:r>
    </w:p>
    <w:p w14:paraId="53C4FDA6">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1、项目基本要求</w:t>
      </w:r>
    </w:p>
    <w:p w14:paraId="63F2D85B">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w:t>
      </w:r>
      <w:r>
        <w:rPr>
          <w:rFonts w:hint="eastAsia" w:ascii="宋体" w:hAnsi="宋体" w:eastAsia="宋体" w:cs="宋体"/>
          <w:color w:val="auto"/>
          <w:sz w:val="24"/>
          <w:szCs w:val="24"/>
        </w:rPr>
        <w:t>★1.1工程建设标准强制性条文：依据竞争性磋商文件要求，本项目实施的工程材料、设备、施工必须达到现行的国家、行业和地方的工程建设标准强制性条文。</w:t>
      </w:r>
    </w:p>
    <w:p w14:paraId="4FFABE6F">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2、工程质量</w:t>
      </w:r>
    </w:p>
    <w:p w14:paraId="5B8F6B16">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（项号2）</w:t>
      </w:r>
      <w:r>
        <w:rPr>
          <w:rFonts w:hint="eastAsia" w:ascii="宋体" w:hAnsi="宋体" w:eastAsia="宋体" w:cs="宋体"/>
          <w:color w:val="auto"/>
          <w:sz w:val="24"/>
          <w:szCs w:val="24"/>
        </w:rPr>
        <w:t>★2.1本工程必须根据建设部《工程施工质量验收规范》等相关规范和规程及施工图纸施工，工程质量标准必须达到国家现行的验评标准中规定的合格等级。</w:t>
      </w:r>
    </w:p>
    <w:p w14:paraId="6CAB913A">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（项号3）</w:t>
      </w:r>
      <w:r>
        <w:rPr>
          <w:rFonts w:hint="eastAsia" w:ascii="宋体" w:hAnsi="宋体" w:eastAsia="宋体" w:cs="宋体"/>
          <w:color w:val="auto"/>
          <w:sz w:val="24"/>
          <w:szCs w:val="24"/>
        </w:rPr>
        <w:t>★2.2因供应商原因工程质量达不到规定的质量等级，供应商必须按合同约定承担违约金并承担</w:t>
      </w:r>
      <w:r>
        <w:rPr>
          <w:rFonts w:hint="eastAsia" w:ascii="宋体" w:hAnsi="宋体" w:eastAsia="宋体" w:cs="宋体"/>
          <w:color w:val="auto"/>
          <w:sz w:val="24"/>
          <w:szCs w:val="24"/>
          <w:shd w:val="clear" w:color="auto" w:fill="FFFFFF"/>
          <w:lang w:val="en-US" w:eastAsia="zh-CN"/>
        </w:rPr>
        <w:t>采购人</w:t>
      </w:r>
      <w:r>
        <w:rPr>
          <w:rFonts w:hint="eastAsia" w:ascii="宋体" w:hAnsi="宋体" w:eastAsia="宋体" w:cs="宋体"/>
          <w:color w:val="auto"/>
          <w:sz w:val="24"/>
          <w:szCs w:val="24"/>
        </w:rPr>
        <w:t>由此产生的其他损失，并在采购人或监理方要求的时间内无条件返修，质量验收合格后方交付使用。</w:t>
      </w:r>
    </w:p>
    <w:p w14:paraId="17E76774">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（项号4）</w:t>
      </w:r>
      <w:r>
        <w:rPr>
          <w:rFonts w:hint="eastAsia" w:ascii="宋体" w:hAnsi="宋体" w:eastAsia="宋体" w:cs="宋体"/>
          <w:color w:val="auto"/>
          <w:sz w:val="24"/>
          <w:szCs w:val="24"/>
        </w:rPr>
        <w:t>★2.3供应商应按安全施工有关规定，采取严格、科学的安全防护措施，确保施工安全和第三者的安全；成交供应商承担由于自身安全措施不力造成事故的责任和发生的费用。在施工过程中造成他人人身伤害、财产损失的，责任全部由供应商承担，施工安全的一切问题均由供应商负责并承担费用。供应商在施工过程中，如与当地周边相关单位、群众发生纠纷，自行负责解决并承担全部责任和费用。供应商应依照有关法律规定参加工伤保险，为其履行合同所雇佣的全部人员，缴纳工伤保险费，未缴纳工伤保险费的，由供应商负全责。</w:t>
      </w:r>
    </w:p>
    <w:p w14:paraId="770EA18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（项号5）</w:t>
      </w:r>
      <w:r>
        <w:rPr>
          <w:rFonts w:hint="eastAsia" w:ascii="宋体" w:hAnsi="宋体" w:eastAsia="宋体" w:cs="宋体"/>
          <w:color w:val="auto"/>
          <w:sz w:val="24"/>
          <w:szCs w:val="24"/>
        </w:rPr>
        <w:t>2.4供应商应提供良好的服务，在施工的各个阶段应事先安排好各项具体工作及采购人需要配合的工作。</w:t>
      </w:r>
    </w:p>
    <w:p w14:paraId="2B4D415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（项号6）</w:t>
      </w:r>
      <w:r>
        <w:rPr>
          <w:rFonts w:hint="eastAsia" w:ascii="宋体" w:hAnsi="宋体" w:eastAsia="宋体" w:cs="宋体"/>
          <w:color w:val="auto"/>
          <w:sz w:val="24"/>
          <w:szCs w:val="24"/>
        </w:rPr>
        <w:t>2.5隐蔽工程等关键工序，采购人有权邀请权威机构或部门进行复核或检验，如不合格，供应商承担相应费用、工期延误责任及一切由此造成的损失。工程完成后，供应商申报验收前要提供完整、准确的竣工图纸、有关资料及相应数据文件。</w:t>
      </w:r>
    </w:p>
    <w:p w14:paraId="2ECA4035">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（项号7）</w:t>
      </w:r>
      <w:r>
        <w:rPr>
          <w:rFonts w:hint="eastAsia" w:ascii="宋体" w:hAnsi="宋体" w:eastAsia="宋体" w:cs="宋体"/>
          <w:color w:val="auto"/>
          <w:sz w:val="24"/>
          <w:szCs w:val="24"/>
        </w:rPr>
        <w:t>2.6经采购人检查认为质量不合格时，供应商应按</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要求进行整修和返工，由此引起的工程延误和费用供应商自负。整改完毕再次会同验收，验收达到采购人满意，验收结果经双方确认签字、加盖各自单位的公章，验收过程费用由供应商承担。</w:t>
      </w:r>
    </w:p>
    <w:p w14:paraId="175A21EF">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3、施工及现场管理要求</w:t>
      </w:r>
    </w:p>
    <w:p w14:paraId="531F0B46">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（项号8）</w:t>
      </w:r>
      <w:r>
        <w:rPr>
          <w:rFonts w:hint="eastAsia" w:ascii="宋体" w:hAnsi="宋体" w:eastAsia="宋体" w:cs="宋体"/>
          <w:color w:val="auto"/>
          <w:sz w:val="24"/>
          <w:szCs w:val="24"/>
        </w:rPr>
        <w:t>3.1供应商必须精心做好各项施工前的准备工作。供应商必须严格执行采购人所提供的施工工艺规范及相关规定（如施工设计图要求）。</w:t>
      </w:r>
    </w:p>
    <w:p w14:paraId="10DED018">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（项号9）</w:t>
      </w:r>
      <w:r>
        <w:rPr>
          <w:rFonts w:hint="eastAsia" w:ascii="宋体" w:hAnsi="宋体" w:eastAsia="宋体" w:cs="宋体"/>
          <w:color w:val="auto"/>
          <w:sz w:val="24"/>
          <w:szCs w:val="24"/>
        </w:rPr>
        <w:t>★3.2供应商自行承担与成交项目有关的安全责任。施工过程中，若出现重大安全事故，依据相关法律法规的规定供应商需暂停施工，由此对工期造成延误，供应商应承担相关的违约责任。</w:t>
      </w:r>
    </w:p>
    <w:p w14:paraId="0946433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（项号10）</w:t>
      </w:r>
      <w:r>
        <w:rPr>
          <w:rFonts w:hint="eastAsia" w:ascii="宋体" w:hAnsi="宋体" w:eastAsia="宋体" w:cs="宋体"/>
          <w:color w:val="auto"/>
          <w:sz w:val="24"/>
          <w:szCs w:val="24"/>
        </w:rPr>
        <w:t>3.3供应商必须服从采购人的所有工程管理的规定。供应商必须严格按图施工，遇有变更时需经采购人书面同意后方可施工，变更部分的工程造价根据成交项目预算作相应增减。因供应商原因导致工程造价提高，供应商需承担工程造价增加部分的费用。</w:t>
      </w:r>
    </w:p>
    <w:p w14:paraId="26D6E87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（项号11）</w:t>
      </w:r>
      <w:r>
        <w:rPr>
          <w:rFonts w:hint="eastAsia" w:ascii="宋体" w:hAnsi="宋体" w:eastAsia="宋体" w:cs="宋体"/>
          <w:color w:val="auto"/>
          <w:sz w:val="24"/>
          <w:szCs w:val="24"/>
        </w:rPr>
        <w:t>3.4供应商必须在保证工期的前提下合理安排施工设施。供应商进入工地必须保证工地四邻建筑物的安全。由施工引起的工地四邻建筑物受到影响由供应商负责。</w:t>
      </w:r>
    </w:p>
    <w:p w14:paraId="1EDC6F7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（项号12）</w:t>
      </w:r>
      <w:r>
        <w:rPr>
          <w:rFonts w:hint="eastAsia" w:ascii="宋体" w:hAnsi="宋体" w:eastAsia="宋体" w:cs="宋体"/>
          <w:color w:val="auto"/>
          <w:sz w:val="24"/>
          <w:szCs w:val="24"/>
        </w:rPr>
        <w:t>3.5本工程安全文明施工必须达到合格工程要求。供应商应遵守国家《建设工程安全生产管理条例》（国务院令第393号）以及政府有关工程建设安全生产管理规定及采购人工作需要，认真做好施工现场的防尘防噪音工作。严格按安全标准组织施工，并随时接受行业安全检查人员依法实施的监督检查，采取必要的安全防护措施，消除事故隐患。由于供应商安全措施不力造成事故的责任和因此发生的费用，由供应商承担。</w:t>
      </w:r>
    </w:p>
    <w:p w14:paraId="5B2B72A5">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（项号13）</w:t>
      </w:r>
      <w:r>
        <w:rPr>
          <w:rFonts w:hint="eastAsia" w:ascii="宋体" w:hAnsi="宋体" w:eastAsia="宋体" w:cs="宋体"/>
          <w:color w:val="auto"/>
          <w:sz w:val="24"/>
          <w:szCs w:val="24"/>
        </w:rPr>
        <w:t>3.6发生伤亡及其他安全事故，供应商应按有关规定立即上报有关部门并通知监理和采购人，同时按政府有关部门要求处理，由事故责任方承担发生的费用。</w:t>
      </w:r>
    </w:p>
    <w:p w14:paraId="75207CF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（项号14）</w:t>
      </w:r>
      <w:r>
        <w:rPr>
          <w:rFonts w:hint="eastAsia" w:ascii="宋体" w:hAnsi="宋体" w:eastAsia="宋体" w:cs="宋体"/>
          <w:color w:val="auto"/>
          <w:sz w:val="24"/>
          <w:szCs w:val="24"/>
        </w:rPr>
        <w:t>3.7供应商负责安排好临时设施的规划和临时设施的搭设，负责对施工及生活临时水电、排水排污的规划及管理。对施工区、生活区、材料堆场、材料加工场进行合理的规划，要求悬挂各类警示、标示牌，必须做到标示明显整齐。所有临时设施必须达到环保部门要求、建管部门制订的强制性行业标准。</w:t>
      </w:r>
    </w:p>
    <w:p w14:paraId="2387BF4A">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（项号15）</w:t>
      </w:r>
      <w:r>
        <w:rPr>
          <w:rFonts w:hint="eastAsia" w:ascii="宋体" w:hAnsi="宋体" w:eastAsia="宋体" w:cs="宋体"/>
          <w:color w:val="auto"/>
          <w:sz w:val="24"/>
          <w:szCs w:val="24"/>
        </w:rPr>
        <w:t>3.8必须做到文明施工。各种材料必须在指定的地方堆放；车辆进出所带来的泥土供应商须及时清理。</w:t>
      </w:r>
    </w:p>
    <w:p w14:paraId="34550FC1">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（项号16）</w:t>
      </w:r>
      <w:r>
        <w:rPr>
          <w:rFonts w:hint="eastAsia" w:ascii="宋体" w:hAnsi="宋体" w:eastAsia="宋体" w:cs="宋体"/>
          <w:color w:val="auto"/>
          <w:sz w:val="24"/>
          <w:szCs w:val="24"/>
        </w:rPr>
        <w:t>3.9施工中现场工人必须统一戴安全帽穿安全服，不得穿拖鞋，光脚、光膀子施工。施工管理人员必须统一着装、佩戴工作牌、戴好安全帽。施工机具进场要求，按进度计划进场。</w:t>
      </w:r>
    </w:p>
    <w:p w14:paraId="5E2D695D">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（项号17）</w:t>
      </w:r>
      <w:r>
        <w:rPr>
          <w:rFonts w:hint="eastAsia" w:ascii="宋体" w:hAnsi="宋体" w:eastAsia="宋体" w:cs="宋体"/>
          <w:color w:val="auto"/>
          <w:sz w:val="24"/>
          <w:szCs w:val="24"/>
        </w:rPr>
        <w:t>★3.10按照部颁施工用电应符合《建筑与市政工程施工现场临时用电安全技术标准》（JGJ/T46-2024）的要求。成交供应商负责施工现场临时用电布线和用电安全，遵守采购人有关用电使用规定。</w:t>
      </w:r>
    </w:p>
    <w:p w14:paraId="3AE1320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（项号18）</w:t>
      </w:r>
      <w:r>
        <w:rPr>
          <w:rFonts w:hint="eastAsia" w:ascii="宋体" w:hAnsi="宋体" w:eastAsia="宋体" w:cs="宋体"/>
          <w:color w:val="auto"/>
          <w:sz w:val="24"/>
          <w:szCs w:val="24"/>
        </w:rPr>
        <w:t>3.11供应商必须严格遵守采购人内部管理和有关规定，服从采购人的管理，未经采购人同意，不得进入采购人办公场所和其他限定区域。</w:t>
      </w:r>
    </w:p>
    <w:p w14:paraId="09D4C8FB">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4、材料</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设备供应</w:t>
      </w:r>
    </w:p>
    <w:p w14:paraId="2BD80AC9">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（项号1</w:t>
      </w: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rPr>
        <w:t>）★4.1成交供应商自购的用于本工程的材料、设备必须是合格产品且符合规范，采购人要求的材料、设备参数详见单个项目图纸、工程量清单及编制说明。在材料、设备进场前应经采购人确认，否则采购人有权拒绝进场。当成交供应商选定的材料质量达不到预期质量目标要求时，成交供应商应无条件进行更换，采购人保留追究责任的权利。若使用劣质材料施工，一经发现，采购人有权制止使用，直至停工、返工或终止合同。无论采购人是否发现和制止，由于使用劣质材料施工所引起的一切责任及所发生的费用经工程师确认后，均由成交供应商自负。进场的所有产品必须是全新、未用、配套齐全、无损的，且主要技术参数符合要求。经采购人检验其颜色、规格、质量和数量，签字认可后方可施工，检验不合格的，成交供应商应予无条件调换。主要建筑材料成交供应商采购前对相关颜色、规格等须经采购人确认后方可采购，施工中所有材料必须达到采购人要求，若未</w:t>
      </w:r>
      <w:r>
        <w:rPr>
          <w:rFonts w:hint="eastAsia" w:ascii="宋体" w:hAnsi="宋体" w:eastAsia="宋体" w:cs="宋体"/>
          <w:b w:val="0"/>
          <w:bCs w:val="0"/>
          <w:color w:val="auto"/>
          <w:sz w:val="24"/>
          <w:szCs w:val="24"/>
          <w:highlight w:val="none"/>
          <w:lang w:eastAsia="zh-CN"/>
        </w:rPr>
        <w:t>达到</w:t>
      </w:r>
      <w:r>
        <w:rPr>
          <w:rFonts w:hint="eastAsia" w:ascii="宋体" w:hAnsi="宋体" w:eastAsia="宋体" w:cs="宋体"/>
          <w:b w:val="0"/>
          <w:bCs w:val="0"/>
          <w:color w:val="auto"/>
          <w:sz w:val="24"/>
          <w:szCs w:val="24"/>
          <w:highlight w:val="none"/>
        </w:rPr>
        <w:t>要求造成的材料浪费等一切相关费用应由成交供应商自行承担。</w:t>
      </w:r>
    </w:p>
    <w:p w14:paraId="62333DCB">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（项号20）★4.2若有需要，采购人可要求成交供应商对进场的主要材料委托国家认可的质量检测机构进行检测，所需费用由成交供应商承担。</w:t>
      </w:r>
    </w:p>
    <w:p w14:paraId="6770ACB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（项号21）4.3采购人要求的主要材料、设备参考品牌情况详见工程量清单中编制说明要求。供应商须承诺所提供的主要材料设备品牌符合或优于工程量清单中编制说明。</w:t>
      </w:r>
    </w:p>
    <w:p w14:paraId="4A029954">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5、项目经理（即项目负责人）及管理人员</w:t>
      </w:r>
    </w:p>
    <w:p w14:paraId="5C61BB54">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（项号22）</w:t>
      </w:r>
      <w:r>
        <w:rPr>
          <w:rFonts w:hint="eastAsia" w:ascii="宋体" w:hAnsi="宋体" w:eastAsia="宋体" w:cs="宋体"/>
          <w:color w:val="auto"/>
          <w:sz w:val="24"/>
          <w:szCs w:val="24"/>
          <w:highlight w:val="none"/>
        </w:rPr>
        <w:t>★5.1关于项目经理在施工现场的时间要求：项目施工期间，项目负责人须按照采购人的考勤制度出勤。未经批准，擅自离开施工现场的，每次罚款1000元，经查超过三次不在岗，采购人有权要求承包人更换项目负责人。成交供应商在成交后应当按照施工现场管理需要配备相应管理人员，且相应管理人员的人数不得低于福建省关于项目施工管理人员配备的要求，即须配备项目技术负责人、土建施工员、土建质量员、安全员、材料员、劳务员各1名，</w:t>
      </w:r>
      <w:r>
        <w:rPr>
          <w:rFonts w:hint="eastAsia" w:ascii="宋体" w:hAnsi="宋体" w:eastAsia="宋体" w:cs="宋体"/>
          <w:b/>
          <w:bCs/>
          <w:color w:val="auto"/>
          <w:sz w:val="24"/>
          <w:szCs w:val="24"/>
          <w:highlight w:val="none"/>
        </w:rPr>
        <w:t>供应商须在首次响应文件中同时提供上述人员身份证复印件、有效的证书复印件及提交首次响应文件截止日期前</w:t>
      </w:r>
      <w:r>
        <w:rPr>
          <w:rFonts w:hint="eastAsia" w:ascii="宋体" w:hAnsi="宋体" w:eastAsia="宋体" w:cs="宋体"/>
          <w:b/>
          <w:bCs/>
          <w:color w:val="auto"/>
          <w:sz w:val="24"/>
          <w:szCs w:val="24"/>
          <w:highlight w:val="none"/>
          <w:lang w:val="en-US" w:eastAsia="zh-CN"/>
        </w:rPr>
        <w:t>六个月</w:t>
      </w:r>
      <w:r>
        <w:rPr>
          <w:rFonts w:hint="eastAsia" w:ascii="宋体" w:hAnsi="宋体" w:eastAsia="宋体" w:cs="宋体"/>
          <w:b/>
          <w:bCs/>
          <w:color w:val="auto"/>
          <w:sz w:val="24"/>
          <w:szCs w:val="24"/>
          <w:highlight w:val="none"/>
        </w:rPr>
        <w:t>(不含提交首次响应文件截止时间当月)的任</w:t>
      </w:r>
      <w:r>
        <w:rPr>
          <w:rFonts w:hint="eastAsia" w:ascii="宋体" w:hAnsi="宋体" w:eastAsia="宋体" w:cs="宋体"/>
          <w:b/>
          <w:bCs/>
          <w:color w:val="auto"/>
          <w:sz w:val="24"/>
          <w:szCs w:val="24"/>
          <w:highlight w:val="none"/>
          <w:lang w:val="en-US" w:eastAsia="zh-CN"/>
        </w:rPr>
        <w:t>意</w:t>
      </w:r>
      <w:r>
        <w:rPr>
          <w:rFonts w:hint="eastAsia" w:ascii="宋体" w:hAnsi="宋体" w:eastAsia="宋体" w:cs="宋体"/>
          <w:b/>
          <w:bCs/>
          <w:color w:val="auto"/>
          <w:sz w:val="24"/>
          <w:szCs w:val="24"/>
          <w:highlight w:val="none"/>
        </w:rPr>
        <w:t>一个月</w:t>
      </w:r>
      <w:r>
        <w:rPr>
          <w:rFonts w:hint="eastAsia" w:ascii="宋体" w:hAnsi="宋体" w:eastAsia="宋体" w:cs="宋体"/>
          <w:b/>
          <w:bCs/>
          <w:color w:val="auto"/>
          <w:sz w:val="24"/>
          <w:szCs w:val="24"/>
          <w:highlight w:val="none"/>
          <w:lang w:eastAsia="zh-CN"/>
        </w:rPr>
        <w:t>由供应商单位为其缴纳的社会保险凭据复印件</w:t>
      </w:r>
      <w:r>
        <w:rPr>
          <w:rFonts w:hint="eastAsia" w:ascii="宋体" w:hAnsi="宋体" w:eastAsia="宋体" w:cs="宋体"/>
          <w:b/>
          <w:bCs/>
          <w:color w:val="auto"/>
          <w:sz w:val="24"/>
          <w:szCs w:val="24"/>
          <w:highlight w:val="none"/>
        </w:rPr>
        <w:t>并加盖公章，</w:t>
      </w:r>
      <w:r>
        <w:rPr>
          <w:rFonts w:hint="eastAsia" w:ascii="宋体" w:hAnsi="宋体" w:eastAsia="宋体" w:cs="宋体"/>
          <w:b/>
          <w:color w:val="auto"/>
          <w:sz w:val="24"/>
          <w:szCs w:val="24"/>
          <w:highlight w:val="none"/>
        </w:rPr>
        <w:t>否则按无效响应处理。</w:t>
      </w:r>
    </w:p>
    <w:p w14:paraId="328134A5">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6、工程竣工</w:t>
      </w:r>
    </w:p>
    <w:p w14:paraId="24139BA1">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rPr>
        <w:t>（项号23）</w:t>
      </w:r>
      <w:r>
        <w:rPr>
          <w:rFonts w:hint="eastAsia" w:ascii="宋体" w:hAnsi="宋体" w:eastAsia="宋体" w:cs="宋体"/>
          <w:color w:val="auto"/>
          <w:sz w:val="24"/>
          <w:szCs w:val="24"/>
        </w:rPr>
        <w:t>★6.1供应商必须按照单项协议约定的竣工日期或采购人同意顺延的工期竣工。因供应商原因不能按照单项协议约定的竣工日</w:t>
      </w:r>
      <w:r>
        <w:rPr>
          <w:rFonts w:hint="eastAsia" w:ascii="宋体" w:hAnsi="宋体" w:eastAsia="宋体" w:cs="宋体"/>
          <w:color w:val="auto"/>
          <w:sz w:val="24"/>
          <w:szCs w:val="24"/>
          <w:highlight w:val="none"/>
        </w:rPr>
        <w:t>期或采购人同意顺延的工期竣工的，供应商承担违约责任。逾期竣工违约金的计算方法为：每逾期一日扣除</w:t>
      </w:r>
      <w:r>
        <w:rPr>
          <w:rFonts w:hint="eastAsia" w:ascii="宋体" w:hAnsi="宋体" w:eastAsia="宋体" w:cs="宋体"/>
          <w:color w:val="auto"/>
          <w:sz w:val="24"/>
          <w:szCs w:val="24"/>
          <w:highlight w:val="none"/>
          <w:lang w:val="en-US" w:eastAsia="zh-CN"/>
        </w:rPr>
        <w:t>1000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因供应商原因造成工期延误，逾期竣工违约金的上限：单项协议金额</w:t>
      </w:r>
      <w:r>
        <w:rPr>
          <w:rFonts w:hint="eastAsia" w:ascii="宋体" w:hAnsi="宋体" w:eastAsia="宋体" w:cs="宋体"/>
          <w:color w:val="auto"/>
          <w:sz w:val="24"/>
          <w:szCs w:val="24"/>
          <w:highlight w:val="none"/>
          <w:lang w:eastAsia="zh-CN"/>
        </w:rPr>
        <w:t>的10%</w:t>
      </w:r>
      <w:r>
        <w:rPr>
          <w:rFonts w:hint="eastAsia" w:ascii="宋体" w:hAnsi="宋体" w:eastAsia="宋体" w:cs="宋体"/>
          <w:color w:val="auto"/>
          <w:sz w:val="24"/>
          <w:szCs w:val="24"/>
          <w:highlight w:val="none"/>
        </w:rPr>
        <w:t>。</w:t>
      </w:r>
    </w:p>
    <w:p w14:paraId="2A2A235D">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（项号24）</w:t>
      </w:r>
      <w:r>
        <w:rPr>
          <w:rFonts w:hint="eastAsia" w:ascii="宋体" w:hAnsi="宋体" w:eastAsia="宋体" w:cs="宋体"/>
          <w:color w:val="auto"/>
          <w:sz w:val="24"/>
          <w:szCs w:val="24"/>
          <w:highlight w:val="none"/>
        </w:rPr>
        <w:t>6.2工程质量保修期按工程通过完工验收后、移交给采购人之日起算。</w:t>
      </w:r>
    </w:p>
    <w:p w14:paraId="51593620">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highlight w:val="none"/>
        </w:rPr>
        <w:t>（项号25）</w:t>
      </w:r>
      <w:r>
        <w:rPr>
          <w:rFonts w:hint="eastAsia" w:ascii="宋体" w:hAnsi="宋体" w:eastAsia="宋体" w:cs="宋体"/>
          <w:color w:val="auto"/>
          <w:sz w:val="24"/>
          <w:szCs w:val="24"/>
          <w:highlight w:val="none"/>
        </w:rPr>
        <w:t>6.3项目验收：项目完成要通知</w:t>
      </w:r>
      <w:r>
        <w:rPr>
          <w:rFonts w:hint="eastAsia" w:ascii="宋体" w:hAnsi="宋体" w:eastAsia="宋体" w:cs="宋体"/>
          <w:color w:val="auto"/>
          <w:sz w:val="24"/>
          <w:szCs w:val="24"/>
        </w:rPr>
        <w:t>采购人对项目进行验收。供应商需根据采购人提出的合理要求进行整改。</w:t>
      </w:r>
    </w:p>
    <w:p w14:paraId="0EE3390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7、其他要求</w:t>
      </w:r>
    </w:p>
    <w:p w14:paraId="30C5C7F4">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（项号26）</w:t>
      </w:r>
      <w:r>
        <w:rPr>
          <w:rFonts w:hint="eastAsia" w:ascii="宋体" w:hAnsi="宋体" w:eastAsia="宋体" w:cs="宋体"/>
          <w:color w:val="auto"/>
          <w:sz w:val="24"/>
          <w:szCs w:val="24"/>
        </w:rPr>
        <w:t>7.1供应商应在项目验收时向采购人提供并移交下列项目相关资料（包括但不限于下述内容）：施工内业资料，其它正式验收需提供的通知或文本或资料。</w:t>
      </w:r>
    </w:p>
    <w:p w14:paraId="6562C58E">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（项号27）</w:t>
      </w:r>
      <w:r>
        <w:rPr>
          <w:rFonts w:hint="eastAsia" w:ascii="宋体" w:hAnsi="宋体" w:eastAsia="宋体" w:cs="宋体"/>
          <w:color w:val="auto"/>
          <w:sz w:val="24"/>
          <w:szCs w:val="24"/>
        </w:rPr>
        <w:t>7.2供应商</w:t>
      </w:r>
      <w:r>
        <w:rPr>
          <w:rFonts w:hint="eastAsia" w:ascii="宋体" w:hAnsi="宋体" w:eastAsia="宋体" w:cs="宋体"/>
          <w:b w:val="0"/>
          <w:bCs w:val="0"/>
          <w:color w:val="auto"/>
          <w:sz w:val="24"/>
          <w:szCs w:val="24"/>
        </w:rPr>
        <w:t>须承诺</w:t>
      </w:r>
      <w:r>
        <w:rPr>
          <w:rFonts w:hint="eastAsia" w:ascii="宋体" w:hAnsi="宋体" w:eastAsia="宋体" w:cs="宋体"/>
          <w:color w:val="auto"/>
          <w:sz w:val="24"/>
          <w:szCs w:val="24"/>
        </w:rPr>
        <w:t>一旦成交，收到进度款后优先用于发放农民工工资，并严格落实《保障农民工工资支付条例》规定。</w:t>
      </w:r>
    </w:p>
    <w:p w14:paraId="2B291D5C">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（项号28）</w:t>
      </w:r>
      <w:r>
        <w:rPr>
          <w:rFonts w:hint="eastAsia" w:ascii="宋体" w:hAnsi="宋体" w:eastAsia="宋体" w:cs="宋体"/>
          <w:color w:val="auto"/>
          <w:sz w:val="24"/>
          <w:szCs w:val="24"/>
        </w:rPr>
        <w:t>7.3供应商竣工交付后，应及时清理建筑及其他垃圾，做好场地卫生，保证场地干净，整洁。</w:t>
      </w:r>
    </w:p>
    <w:p w14:paraId="4DBE6EB1">
      <w:pPr>
        <w:pStyle w:val="2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360" w:lineRule="auto"/>
        <w:textAlignment w:val="auto"/>
        <w:rPr>
          <w:rStyle w:val="34"/>
          <w:rFonts w:hint="eastAsia" w:ascii="宋体" w:hAnsi="宋体" w:eastAsia="宋体" w:cs="宋体"/>
          <w:color w:val="FF0000"/>
          <w:sz w:val="24"/>
          <w:szCs w:val="24"/>
          <w:highlight w:val="none"/>
        </w:rPr>
      </w:pPr>
      <w:r>
        <w:rPr>
          <w:rStyle w:val="34"/>
          <w:rFonts w:hint="eastAsia" w:eastAsia="宋体" w:cs="宋体"/>
          <w:color w:val="auto"/>
          <w:sz w:val="24"/>
          <w:szCs w:val="24"/>
          <w:highlight w:val="none"/>
          <w:lang w:val="en-US" w:eastAsia="zh-CN"/>
        </w:rPr>
        <w:t>三、</w:t>
      </w:r>
      <w:r>
        <w:rPr>
          <w:rStyle w:val="34"/>
          <w:rFonts w:hint="eastAsia" w:ascii="宋体" w:hAnsi="宋体" w:eastAsia="宋体" w:cs="宋体"/>
          <w:color w:val="auto"/>
          <w:sz w:val="24"/>
          <w:szCs w:val="24"/>
          <w:highlight w:val="none"/>
        </w:rPr>
        <w:t>商务条件（以下内容为不允许负偏离的实质性要求）</w:t>
      </w:r>
    </w:p>
    <w:p w14:paraId="67E73B2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Style w:val="34"/>
          <w:rFonts w:hint="eastAsia" w:ascii="宋体" w:hAnsi="宋体" w:eastAsia="宋体" w:cs="宋体"/>
          <w:color w:val="auto"/>
          <w:sz w:val="24"/>
          <w:szCs w:val="24"/>
          <w:highlight w:val="none"/>
          <w:lang w:val="en-US" w:eastAsia="zh-CN"/>
        </w:rPr>
      </w:pPr>
      <w:r>
        <w:rPr>
          <w:rStyle w:val="34"/>
          <w:rFonts w:hint="eastAsia" w:ascii="宋体" w:hAnsi="宋体" w:eastAsia="宋体" w:cs="宋体"/>
          <w:color w:val="auto"/>
          <w:sz w:val="24"/>
          <w:szCs w:val="24"/>
          <w:highlight w:val="none"/>
          <w:lang w:val="en-US" w:eastAsia="zh-CN"/>
        </w:rPr>
        <w:t>1、交付时间：</w:t>
      </w:r>
      <w:r>
        <w:rPr>
          <w:rStyle w:val="34"/>
          <w:rFonts w:hint="eastAsia" w:ascii="宋体" w:hAnsi="宋体" w:eastAsia="宋体" w:cs="宋体"/>
          <w:b w:val="0"/>
          <w:bCs w:val="0"/>
          <w:color w:val="auto"/>
          <w:sz w:val="24"/>
          <w:szCs w:val="24"/>
          <w:highlight w:val="none"/>
          <w:lang w:val="en-US" w:eastAsia="zh-CN"/>
        </w:rPr>
        <w:t xml:space="preserve">供应商根据采购人要求。服务期限为采购合同双方签订之日起一年或在合同期内采购总金额已经达到本项目预算金额，截止日期计算以单项签订施工协议书日期为准，工期以实际为准。 </w:t>
      </w:r>
    </w:p>
    <w:p w14:paraId="3EAF236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2、交付地点：</w:t>
      </w:r>
      <w:r>
        <w:rPr>
          <w:rFonts w:hint="eastAsia" w:ascii="宋体" w:hAnsi="宋体" w:eastAsia="宋体" w:cs="宋体"/>
          <w:b w:val="0"/>
          <w:bCs w:val="0"/>
          <w:i w:val="0"/>
          <w:iCs w:val="0"/>
          <w:caps w:val="0"/>
          <w:color w:val="auto"/>
          <w:spacing w:val="0"/>
          <w:sz w:val="24"/>
          <w:szCs w:val="24"/>
          <w:shd w:val="clear" w:color="auto" w:fill="FFFFFF"/>
          <w:lang w:val="en-US" w:eastAsia="zh-CN"/>
        </w:rPr>
        <w:t>福建省福州市闽侯县南屿镇窗厦村悬钟山1号，具体以采购人要求为准。</w:t>
      </w:r>
    </w:p>
    <w:p w14:paraId="49C7F92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3、交付条件：</w:t>
      </w:r>
      <w:r>
        <w:rPr>
          <w:rFonts w:hint="eastAsia" w:ascii="宋体" w:hAnsi="宋体" w:eastAsia="宋体" w:cs="宋体"/>
          <w:b w:val="0"/>
          <w:bCs w:val="0"/>
          <w:i w:val="0"/>
          <w:iCs w:val="0"/>
          <w:caps w:val="0"/>
          <w:color w:val="auto"/>
          <w:spacing w:val="0"/>
          <w:sz w:val="24"/>
          <w:szCs w:val="24"/>
          <w:shd w:val="clear" w:color="auto" w:fill="FFFFFF"/>
          <w:lang w:val="en-US" w:eastAsia="zh-CN"/>
        </w:rPr>
        <w:t>符合《工程施工质量验收规范》及其它相关规范合格标准。</w:t>
      </w:r>
    </w:p>
    <w:p w14:paraId="5A9B68A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4、是否邀请未成交供应商参与验收：</w:t>
      </w:r>
      <w:r>
        <w:rPr>
          <w:rFonts w:hint="eastAsia" w:ascii="宋体" w:hAnsi="宋体" w:eastAsia="宋体" w:cs="宋体"/>
          <w:b w:val="0"/>
          <w:bCs w:val="0"/>
          <w:i w:val="0"/>
          <w:iCs w:val="0"/>
          <w:caps w:val="0"/>
          <w:color w:val="auto"/>
          <w:spacing w:val="0"/>
          <w:sz w:val="24"/>
          <w:szCs w:val="24"/>
          <w:shd w:val="clear" w:color="auto" w:fill="FFFFFF"/>
          <w:lang w:val="en-US" w:eastAsia="zh-CN"/>
        </w:rPr>
        <w:t>不邀请</w:t>
      </w:r>
    </w:p>
    <w:p w14:paraId="7B975D8B">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5、履约验收方式：</w:t>
      </w:r>
      <w:r>
        <w:rPr>
          <w:rFonts w:hint="eastAsia" w:ascii="宋体" w:hAnsi="宋体" w:eastAsia="宋体" w:cs="宋体"/>
          <w:b w:val="0"/>
          <w:bCs w:val="0"/>
          <w:i w:val="0"/>
          <w:iCs w:val="0"/>
          <w:caps w:val="0"/>
          <w:color w:val="auto"/>
          <w:spacing w:val="0"/>
          <w:sz w:val="24"/>
          <w:szCs w:val="24"/>
          <w:shd w:val="clear" w:color="auto" w:fill="FFFFFF"/>
          <w:lang w:val="en-US" w:eastAsia="zh-CN"/>
        </w:rPr>
        <w:t>（1）提交符合规范要求的施工图和施工预算书纸质资料和电子版资料。（2）符合《工程施工质量验收规范》的合格要求，成交供应商每次完成采购人派发的工程任务后，由采购人根据合同约定的及其他先行有效的相关工程建设技术标准进行验收。</w:t>
      </w:r>
    </w:p>
    <w:p w14:paraId="79F2A86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bCs/>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6、合同支付方式：</w:t>
      </w:r>
    </w:p>
    <w:p w14:paraId="1579BDF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pPr>
      <w:r>
        <w:rPr>
          <w:rFonts w:hint="eastAsia" w:ascii="宋体" w:hAnsi="宋体" w:eastAsia="宋体" w:cs="宋体"/>
          <w:b w:val="0"/>
          <w:bCs w:val="0"/>
          <w:i w:val="0"/>
          <w:iCs w:val="0"/>
          <w:caps w:val="0"/>
          <w:color w:val="auto"/>
          <w:spacing w:val="0"/>
          <w:sz w:val="24"/>
          <w:szCs w:val="24"/>
          <w:shd w:val="clear" w:color="auto" w:fill="FFFFFF"/>
          <w:lang w:val="en-US" w:eastAsia="zh-CN"/>
        </w:rPr>
        <w:t>6.1按月支付工程进度款。即当月确定的合格工程量所含款项的80%支付</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进度款。采购人在收到成交供应商书面申请、相关完整报销材料及相应的</w:t>
      </w:r>
      <w:r>
        <w:rPr>
          <w:rFonts w:hint="eastAsia" w:ascii="宋体" w:hAnsi="宋体" w:eastAsia="宋体" w:cs="宋体"/>
          <w:color w:val="auto"/>
          <w:kern w:val="0"/>
          <w:sz w:val="24"/>
          <w:szCs w:val="24"/>
          <w:highlight w:val="none"/>
          <w:shd w:val="clear" w:color="auto" w:fill="FFFFFF"/>
          <w:lang w:val="en-US" w:eastAsia="zh-CN" w:bidi="ar-SA"/>
        </w:rPr>
        <w:t>增值税专用发票后30日内</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 xml:space="preserve">，支付月工程进度款的80.00%。 </w:t>
      </w:r>
    </w:p>
    <w:p w14:paraId="1270633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pP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6.2工程竣工并经有关部门进行验收，符合《工程施工质量验收规范》合格标准后，采购人在收到成交供应商书面申请、相关完整报销材料及相应的</w:t>
      </w:r>
      <w:r>
        <w:rPr>
          <w:rFonts w:hint="eastAsia" w:ascii="宋体" w:hAnsi="宋体" w:eastAsia="宋体" w:cs="宋体"/>
          <w:color w:val="auto"/>
          <w:kern w:val="0"/>
          <w:sz w:val="24"/>
          <w:szCs w:val="24"/>
          <w:highlight w:val="none"/>
          <w:shd w:val="clear" w:color="auto" w:fill="FFFFFF"/>
          <w:lang w:val="en-US" w:eastAsia="zh-CN" w:bidi="ar-SA"/>
        </w:rPr>
        <w:t>增值税专用发票后30日内</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 xml:space="preserve">，支付至单项合同总金额的85%。 </w:t>
      </w:r>
    </w:p>
    <w:p w14:paraId="19E0B84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pP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6.3工程完成结算，经第三方机构结算审核后30日内，采购人支付至结算审核价的97%。以上款项成交供应商须提供书面申请、相关完整报销材料及全部剩余金额的</w:t>
      </w:r>
      <w:r>
        <w:rPr>
          <w:rFonts w:hint="eastAsia" w:ascii="宋体" w:hAnsi="宋体" w:eastAsia="宋体" w:cs="宋体"/>
          <w:color w:val="auto"/>
          <w:kern w:val="0"/>
          <w:sz w:val="24"/>
          <w:szCs w:val="24"/>
          <w:highlight w:val="none"/>
          <w:shd w:val="clear" w:color="auto" w:fill="FFFFFF"/>
          <w:lang w:val="en-US" w:eastAsia="zh-CN" w:bidi="ar-SA"/>
        </w:rPr>
        <w:t>增值税专用发票</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，采购人在收到上述材料及发票后</w:t>
      </w:r>
      <w:r>
        <w:rPr>
          <w:rFonts w:hint="eastAsia" w:ascii="宋体" w:hAnsi="宋体" w:eastAsia="宋体" w:cs="宋体"/>
          <w:color w:val="auto"/>
          <w:kern w:val="0"/>
          <w:sz w:val="24"/>
          <w:szCs w:val="24"/>
          <w:highlight w:val="none"/>
          <w:shd w:val="clear" w:color="auto" w:fill="FFFFFF"/>
          <w:lang w:val="en-US" w:eastAsia="zh-CN" w:bidi="ar-SA"/>
        </w:rPr>
        <w:t>30日内，</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 xml:space="preserve">支付相应的金额。注：经第三方机构审核后的审定价款低于单项合同总价的按审定价款进行结算，经第三方机构审核后的审定价款高于单项合同总价的按单项合同总价进行结算。 </w:t>
      </w:r>
    </w:p>
    <w:p w14:paraId="04359D2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pP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6.4剩余3%，待质量保修期（缺陷责任期）满后30日内支付剩余款项。以上款项成交供应商须提供盖有单位公章的收款收据，收到收款收据及相关材料后</w:t>
      </w:r>
      <w:r>
        <w:rPr>
          <w:rFonts w:hint="eastAsia" w:ascii="宋体" w:hAnsi="宋体" w:eastAsia="宋体" w:cs="宋体"/>
          <w:color w:val="auto"/>
          <w:kern w:val="0"/>
          <w:sz w:val="24"/>
          <w:szCs w:val="24"/>
          <w:highlight w:val="none"/>
          <w:shd w:val="clear" w:color="auto" w:fill="FFFFFF"/>
          <w:lang w:val="en-US" w:eastAsia="zh-CN" w:bidi="ar-SA"/>
        </w:rPr>
        <w:t>30日内，</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支付相应的金额。</w:t>
      </w:r>
    </w:p>
    <w:p w14:paraId="5ADC966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eastAsia="宋体" w:cs="宋体"/>
          <w:b/>
          <w:bCs/>
          <w:i w:val="0"/>
          <w:iCs w:val="0"/>
          <w:caps w:val="0"/>
          <w:color w:val="auto"/>
          <w:spacing w:val="0"/>
          <w:sz w:val="24"/>
          <w:szCs w:val="24"/>
          <w:highlight w:val="none"/>
          <w:shd w:val="clear" w:color="auto" w:fill="FFFFFF"/>
          <w:lang w:val="en-US" w:eastAsia="zh-CN"/>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7、履约保证金：</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本采购包履约保证金为合同金额的</w:t>
      </w:r>
      <w:r>
        <w:rPr>
          <w:rFonts w:hint="eastAsia" w:ascii="宋体" w:hAnsi="宋体" w:eastAsia="宋体" w:cs="宋体"/>
          <w:color w:val="auto"/>
          <w:kern w:val="0"/>
          <w:sz w:val="24"/>
          <w:szCs w:val="24"/>
          <w:highlight w:val="none"/>
          <w:shd w:val="clear" w:color="auto" w:fill="FFFFFF"/>
          <w:lang w:val="en-US" w:eastAsia="zh-CN" w:bidi="ar-SA"/>
        </w:rPr>
        <w:t>10%</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成交供应商应在合同签订前向采购人缴纳合同金额的10%作为履约保证金，履约保证金以银行转账、支票、银行无条件支付保函（保函有效期应当涵盖本项目合同有效期）等非现金形式提交。履约保证金在合同期内所有项目竣工验收合格且经采购人确认双方无未了事项后，采购人在收到成交供应商书面申请及相关材料后</w:t>
      </w:r>
      <w:r>
        <w:rPr>
          <w:rFonts w:hint="eastAsia" w:ascii="宋体" w:hAnsi="宋体" w:eastAsia="宋体" w:cs="宋体"/>
          <w:color w:val="auto"/>
          <w:kern w:val="0"/>
          <w:sz w:val="24"/>
          <w:szCs w:val="24"/>
          <w:highlight w:val="none"/>
          <w:shd w:val="clear" w:color="auto" w:fill="FFFFFF"/>
          <w:lang w:val="en-US" w:eastAsia="zh-CN" w:bidi="ar-SA"/>
        </w:rPr>
        <w:t>30日内</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无息退还。</w:t>
      </w:r>
    </w:p>
    <w:p w14:paraId="71BD2ECE">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、验收标准及方法</w:t>
      </w:r>
    </w:p>
    <w:p w14:paraId="46604F7E">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.1本项目要求质量等级为：单项工程应符合《工程施工质量验收规范》及其它相关规范合格标准。     </w:t>
      </w:r>
    </w:p>
    <w:p w14:paraId="2B99402A">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.2施工完成后由采购人专人验收，必须达到竞争性磋商文件及采购人设定的标准。若未能达到该标准，则不予以验收，并对存在的问题及时进行整改。</w:t>
      </w:r>
    </w:p>
    <w:p w14:paraId="0152F41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.3验收要求：工程验收时由采购人组织相关职能部门进行，若有需要，</w:t>
      </w:r>
      <w:r>
        <w:rPr>
          <w:rFonts w:hint="eastAsia" w:ascii="宋体" w:hAnsi="宋体" w:eastAsia="宋体" w:cs="宋体"/>
          <w:color w:val="auto"/>
          <w:sz w:val="24"/>
          <w:szCs w:val="24"/>
        </w:rPr>
        <w:t>采购人可请第三方有资质专业机构参与验收（费用包含在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报价中），验收合格后成交供应商可向采购人办理移交手续，在采购人安装现场进行最终检验所发生的一切费用由成交供应商承担。验收过程中有发现不符合国家相关标准的，成</w:t>
      </w:r>
      <w:r>
        <w:rPr>
          <w:rFonts w:hint="eastAsia" w:ascii="宋体" w:hAnsi="宋体" w:eastAsia="宋体" w:cs="宋体"/>
          <w:color w:val="auto"/>
          <w:sz w:val="24"/>
          <w:szCs w:val="24"/>
          <w:highlight w:val="none"/>
        </w:rPr>
        <w:t>交供应商应负相关法律责任。</w:t>
      </w:r>
    </w:p>
    <w:p w14:paraId="31DEFD5F">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、工程质量保修期（即缺陷责任期）</w:t>
      </w:r>
    </w:p>
    <w:p w14:paraId="25500770">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.1质量保修期按单个项目具体情况在单项施工协议中确定。保修期内成交供应商必须保证对整个项目非人为破坏而损坏的保修保养。</w:t>
      </w:r>
    </w:p>
    <w:p w14:paraId="47927296">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.2 在质量保修期内由于施工质量原</w:t>
      </w:r>
      <w:r>
        <w:rPr>
          <w:rFonts w:hint="eastAsia" w:ascii="宋体" w:hAnsi="宋体" w:eastAsia="宋体" w:cs="宋体"/>
          <w:color w:val="auto"/>
          <w:sz w:val="24"/>
          <w:szCs w:val="24"/>
        </w:rPr>
        <w:t>因造成的任何损伤和损坏，成交供应商须负责修理或更换。</w:t>
      </w:r>
    </w:p>
    <w:p w14:paraId="322AB38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3在质量保修期结束前，须由成交供应商代表和采购人代表进行一次全面检查，任何缺陷必须由成交供应商负责修理或更换。在修复之后，成交供应商应将缺陷原因、修理内容、完成修理及恢复正常的时间和日期等报告采购人。</w:t>
      </w:r>
    </w:p>
    <w:p w14:paraId="265FD26E">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.4在质量保修期内由于产品本身质量原因造成的任何损伤和损坏，成交供应商须免费负责修理或更换。</w:t>
      </w:r>
    </w:p>
    <w:p w14:paraId="58406C69">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.5质量保修期内保养包括定期对整个项目作定期检查、护养和清洁，并提供详细的保养程序表和保养工作内容给采购人。</w:t>
      </w:r>
    </w:p>
    <w:p w14:paraId="76C7F79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6质量保修期内上述内容产生的一切费用由成交供应商承担，费用包含在报价总价内。</w:t>
      </w:r>
    </w:p>
    <w:p w14:paraId="52820688">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en-US" w:eastAsia="zh-CN"/>
        </w:rPr>
        <w:t>0</w:t>
      </w:r>
      <w:r>
        <w:rPr>
          <w:rFonts w:hint="eastAsia" w:ascii="宋体" w:hAnsi="宋体" w:eastAsia="宋体" w:cs="宋体"/>
          <w:b/>
          <w:bCs/>
          <w:color w:val="auto"/>
          <w:sz w:val="24"/>
          <w:szCs w:val="24"/>
        </w:rPr>
        <w:t>、违约责任</w:t>
      </w:r>
    </w:p>
    <w:p w14:paraId="653DE26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除不可抗力原因，因中标人原因造成本项目合同无法按时签订的，视为中标人违约，招标人将没收其投标保证金。如已缴纳履约保证金的，招标人将不予退还履约保证金。列入不良行为记录名单，并上报上级部门。如投标保证金或履约保证金（若有）不能弥补中标人违约对招标人造成损失的，招标人保留追究中标人相应责任的权利。</w:t>
      </w:r>
    </w:p>
    <w:p w14:paraId="252230EB">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签订合同之后，因中标人任何违约行为导致本合同无法正常继续履行或提前终止、或未按合同有关规定履行其义务、或除不可抗力原因中标人要求解除合同的或者终止合同的，均视为中标人违约，招标人将不予退还履约保证金。列入不良行为记录名单，并上报上级部门。如履约保证金不能弥补中标人违约对招标人造成损失的，招标人保留追究中标人相应责任的权利。</w:t>
      </w:r>
    </w:p>
    <w:p w14:paraId="0C49ADC2">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如发现本项目投标人存在串通投标或虚假应标的情形，招标人将没收其投标保证金。如中标人已缴纳履约保证金的，招标人不予退还其履约保证金，且已签订合同的终止合同。列入不良行为记录名单，并上报上级部门。如投标保证金或履约保证金不能弥补中标人违约对招标人造成损失的，招标人保留追究中标人相应责任的权利。</w:t>
      </w:r>
    </w:p>
    <w:p w14:paraId="23D05566">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.2成交供应商在接到</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委托任务时，响应时间为24小时；在项目施工时，应委派专门的专业技术人员（以成交供应商所出具的加盖单位公章的委托书为准）在</w:t>
      </w:r>
      <w:r>
        <w:rPr>
          <w:rFonts w:hint="eastAsia" w:ascii="宋体" w:hAnsi="宋体" w:eastAsia="宋体" w:cs="宋体"/>
          <w:color w:val="auto"/>
          <w:sz w:val="24"/>
          <w:szCs w:val="24"/>
          <w:shd w:val="clear" w:color="auto" w:fill="FFFFFF"/>
          <w:lang w:val="en-US" w:eastAsia="zh-CN"/>
        </w:rPr>
        <w:t>采购人</w:t>
      </w:r>
      <w:r>
        <w:rPr>
          <w:rFonts w:hint="eastAsia" w:ascii="宋体" w:hAnsi="宋体" w:eastAsia="宋体" w:cs="宋体"/>
          <w:color w:val="auto"/>
          <w:sz w:val="24"/>
          <w:szCs w:val="24"/>
        </w:rPr>
        <w:t>驻点，驻点时间为</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正常上班时间，配合</w:t>
      </w:r>
      <w:r>
        <w:rPr>
          <w:rFonts w:hint="eastAsia" w:ascii="宋体" w:hAnsi="宋体" w:eastAsia="宋体" w:cs="宋体"/>
          <w:color w:val="auto"/>
          <w:sz w:val="24"/>
          <w:szCs w:val="24"/>
          <w:lang w:val="en-US" w:eastAsia="zh-CN"/>
        </w:rPr>
        <w:t>采</w:t>
      </w:r>
      <w:r>
        <w:rPr>
          <w:rFonts w:hint="eastAsia" w:ascii="宋体" w:hAnsi="宋体" w:eastAsia="宋体" w:cs="宋体"/>
          <w:color w:val="auto"/>
          <w:sz w:val="24"/>
          <w:szCs w:val="24"/>
          <w:highlight w:val="none"/>
          <w:lang w:val="en-US" w:eastAsia="zh-CN"/>
        </w:rPr>
        <w:t>购人</w:t>
      </w:r>
      <w:r>
        <w:rPr>
          <w:rFonts w:hint="eastAsia" w:ascii="宋体" w:hAnsi="宋体" w:eastAsia="宋体" w:cs="宋体"/>
          <w:color w:val="auto"/>
          <w:sz w:val="24"/>
          <w:szCs w:val="24"/>
          <w:highlight w:val="none"/>
        </w:rPr>
        <w:t>业务归口管理部门到项目现场踏勘、量取数据，根据</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要求以及项目的具体情况，提出合理的施工初步方案供</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参考。若有履职不到位的情况，予以每次扣款</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0元处理，若有三次（含）以上履职不到位，</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有权单方面解除合同，并</w:t>
      </w:r>
      <w:r>
        <w:rPr>
          <w:rFonts w:hint="eastAsia" w:ascii="宋体" w:hAnsi="宋体" w:eastAsia="宋体" w:cs="宋体"/>
          <w:color w:val="auto"/>
          <w:sz w:val="24"/>
          <w:szCs w:val="24"/>
          <w:highlight w:val="none"/>
          <w:lang w:val="en-US" w:eastAsia="zh-CN"/>
        </w:rPr>
        <w:t>不予退还</w:t>
      </w:r>
      <w:r>
        <w:rPr>
          <w:rFonts w:hint="eastAsia" w:ascii="宋体" w:hAnsi="宋体" w:eastAsia="宋体" w:cs="宋体"/>
          <w:color w:val="auto"/>
          <w:sz w:val="24"/>
          <w:szCs w:val="24"/>
          <w:highlight w:val="none"/>
        </w:rPr>
        <w:t>履约保证金。</w:t>
      </w:r>
    </w:p>
    <w:p w14:paraId="16DDC68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有权对施工现场违反安全规章制度的现象收取相应违约金（每次</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00元）。</w:t>
      </w:r>
    </w:p>
    <w:p w14:paraId="2A70D4ED">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.4 成交供应商主要施工管理人员擅自离开项目现场的违约责任：</w:t>
      </w:r>
    </w:p>
    <w:p w14:paraId="1373FAD0">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.4.1 采购人或监理人采用不定时随机检查（点名）的方法检查成交供应商施工管理人员的到位情况。如采购人或监理人发现成交供应商施工管理人员缺岗，且未向采购人或监理人事先书面报告并</w:t>
      </w:r>
      <w:r>
        <w:rPr>
          <w:rFonts w:hint="eastAsia" w:ascii="宋体" w:hAnsi="宋体" w:eastAsia="宋体" w:cs="宋体"/>
          <w:color w:val="auto"/>
          <w:sz w:val="24"/>
          <w:szCs w:val="24"/>
        </w:rPr>
        <w:t>获得书面同意的，项目经理或技术负责人缺岗的，按每人次处1000元人民币向采购人支付违约金。</w:t>
      </w:r>
    </w:p>
    <w:p w14:paraId="7D557C52">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.4.2 成交供应商施工管理人员在项目工期内累计缺岗3次（含3次）的，采购</w:t>
      </w:r>
      <w:r>
        <w:rPr>
          <w:rFonts w:hint="eastAsia" w:ascii="宋体" w:hAnsi="宋体" w:eastAsia="宋体" w:cs="宋体"/>
          <w:color w:val="auto"/>
          <w:sz w:val="24"/>
          <w:szCs w:val="24"/>
          <w:highlight w:val="none"/>
        </w:rPr>
        <w:t>人或监理人有权要求成交供应商撤换，成交供应商应予以撤换。成交供应商无正当理由拒绝撤换主要施工管理人员的，采购人有权要求成交供应商向其支付5万元违约金，同时采购人有权解除合同并责令成交供应商退场，由此产生的一切损失及后果由成交供应商承担。</w:t>
      </w:r>
    </w:p>
    <w:p w14:paraId="0BCA3A7C">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.4.3 成交供应商擅自更换项目经理或项目技术负责人的按每人次处1万元人民币向采购人支付违约金。</w:t>
      </w:r>
    </w:p>
    <w:p w14:paraId="2B8C6F3D">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.4.4 除项目经理或项目技术负责人外，成交供应商擅自更换主要施工管理人员的，每人次支付违约金5000元人民币。</w:t>
      </w:r>
    </w:p>
    <w:p w14:paraId="0F369278">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.5 成交供应商逾期交付（包括但不限于：整修、返工、补交或由需方提出的变更，由成交供应商提交承诺后但未在承诺的工期内完成等）的，每逾期一天，每逾期一日按</w:t>
      </w:r>
      <w:r>
        <w:rPr>
          <w:rFonts w:hint="eastAsia" w:ascii="宋体" w:hAnsi="宋体" w:eastAsia="宋体" w:cs="宋体"/>
          <w:color w:val="auto"/>
          <w:sz w:val="24"/>
          <w:szCs w:val="24"/>
          <w:highlight w:val="none"/>
          <w:lang w:val="en-US" w:eastAsia="zh-CN"/>
        </w:rPr>
        <w:t>1000</w:t>
      </w:r>
      <w:r>
        <w:rPr>
          <w:rFonts w:hint="eastAsia" w:ascii="宋体" w:hAnsi="宋体" w:eastAsia="宋体" w:cs="宋体"/>
          <w:color w:val="auto"/>
          <w:sz w:val="24"/>
          <w:szCs w:val="24"/>
          <w:highlight w:val="none"/>
        </w:rPr>
        <w:t>元支付违约金；</w:t>
      </w:r>
      <w:r>
        <w:rPr>
          <w:rFonts w:hint="eastAsia" w:ascii="宋体" w:hAnsi="宋体" w:eastAsia="宋体" w:cs="宋体"/>
          <w:color w:val="auto"/>
          <w:sz w:val="24"/>
          <w:szCs w:val="24"/>
          <w:highlight w:val="none"/>
          <w:lang w:val="en-US" w:eastAsia="zh-CN"/>
        </w:rPr>
        <w:t>因供应商原因造成工期延误，逾期竣工违约金的上限：单项协议金额</w:t>
      </w:r>
      <w:r>
        <w:rPr>
          <w:rFonts w:hint="eastAsia" w:ascii="宋体" w:hAnsi="宋体" w:eastAsia="宋体" w:cs="宋体"/>
          <w:color w:val="auto"/>
          <w:sz w:val="24"/>
          <w:szCs w:val="24"/>
          <w:highlight w:val="none"/>
          <w:lang w:eastAsia="zh-CN"/>
        </w:rPr>
        <w:t>的10%；</w:t>
      </w:r>
      <w:r>
        <w:rPr>
          <w:rFonts w:hint="eastAsia" w:ascii="宋体" w:hAnsi="宋体" w:eastAsia="宋体" w:cs="宋体"/>
          <w:color w:val="auto"/>
          <w:sz w:val="24"/>
          <w:szCs w:val="24"/>
          <w:highlight w:val="none"/>
        </w:rPr>
        <w:t>逾期超过10天且未经采购人同意的，采购人有权解除合同，由此产生的责任全部由成交供应商负责，造成的损失采购人有权向成交供应商赔偿。施工期间须保证零投诉，如有收到投诉将给予相应罚款处理。成交供应商逾期或拒不提供质量保修服务，应按照5000元/次向采购人支付违约金。</w:t>
      </w:r>
    </w:p>
    <w:p w14:paraId="2B30DE79">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.6 在</w:t>
      </w:r>
      <w:r>
        <w:rPr>
          <w:rFonts w:hint="eastAsia" w:ascii="宋体" w:hAnsi="宋体" w:eastAsia="宋体" w:cs="宋体"/>
          <w:color w:val="auto"/>
          <w:sz w:val="24"/>
          <w:szCs w:val="24"/>
          <w:lang w:eastAsia="zh-CN"/>
        </w:rPr>
        <w:t>签订</w:t>
      </w:r>
      <w:r>
        <w:rPr>
          <w:rFonts w:hint="eastAsia" w:ascii="宋体" w:hAnsi="宋体" w:eastAsia="宋体" w:cs="宋体"/>
          <w:color w:val="auto"/>
          <w:sz w:val="24"/>
          <w:szCs w:val="24"/>
        </w:rPr>
        <w:t>采购合同之后，成交供应商要求解除或者终止合同的，视为成交供应商违约，采购人有权</w:t>
      </w:r>
      <w:r>
        <w:rPr>
          <w:rFonts w:hint="eastAsia" w:ascii="宋体" w:hAnsi="宋体" w:eastAsia="宋体" w:cs="宋体"/>
          <w:color w:val="auto"/>
          <w:sz w:val="24"/>
          <w:szCs w:val="24"/>
          <w:lang w:val="en-US" w:eastAsia="zh-CN"/>
        </w:rPr>
        <w:t>不予退还</w:t>
      </w:r>
      <w:r>
        <w:rPr>
          <w:rFonts w:hint="eastAsia" w:ascii="宋体" w:hAnsi="宋体" w:eastAsia="宋体" w:cs="宋体"/>
          <w:color w:val="auto"/>
          <w:sz w:val="24"/>
          <w:szCs w:val="24"/>
        </w:rPr>
        <w:t>履约保证金。对采购人造成的损失的，成交供应商需支付相应的赔偿。</w:t>
      </w:r>
    </w:p>
    <w:p w14:paraId="6FA0F8FF">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.7 合同</w:t>
      </w:r>
      <w:r>
        <w:rPr>
          <w:rFonts w:hint="eastAsia" w:ascii="宋体" w:hAnsi="宋体" w:eastAsia="宋体" w:cs="宋体"/>
          <w:color w:val="auto"/>
          <w:sz w:val="24"/>
          <w:szCs w:val="24"/>
          <w:lang w:val="en-US" w:eastAsia="zh-CN"/>
        </w:rPr>
        <w:t>中</w:t>
      </w:r>
      <w:r>
        <w:rPr>
          <w:rFonts w:hint="eastAsia" w:ascii="宋体" w:hAnsi="宋体" w:eastAsia="宋体" w:cs="宋体"/>
          <w:color w:val="auto"/>
          <w:sz w:val="24"/>
          <w:szCs w:val="24"/>
        </w:rPr>
        <w:t>所有设备、材料的制造、安装及服务，都必须由成交供应商或在响应文件中明确的单位承担，不允许成交供应商以任何名义和理由进行转包或分包。如有发现合同履行过程中未按上述规定执行的，视为成交供应商违约，采购人有权单方终止合同，采购人有权</w:t>
      </w:r>
      <w:r>
        <w:rPr>
          <w:rFonts w:hint="eastAsia" w:ascii="宋体" w:hAnsi="宋体" w:eastAsia="宋体" w:cs="宋体"/>
          <w:color w:val="auto"/>
          <w:sz w:val="24"/>
          <w:szCs w:val="24"/>
          <w:lang w:val="en-US" w:eastAsia="zh-CN"/>
        </w:rPr>
        <w:t>不予退还</w:t>
      </w:r>
      <w:r>
        <w:rPr>
          <w:rFonts w:hint="eastAsia" w:ascii="宋体" w:hAnsi="宋体" w:eastAsia="宋体" w:cs="宋体"/>
          <w:color w:val="auto"/>
          <w:sz w:val="24"/>
          <w:szCs w:val="24"/>
        </w:rPr>
        <w:t>履约保证金。对采购人造成的损失的，成交供应商需支付相应的赔偿。</w:t>
      </w:r>
    </w:p>
    <w:p w14:paraId="36F6B1F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.8成交供应商履行义务不符合合同约定时，采购人有权从工程款中扣除。</w:t>
      </w:r>
    </w:p>
    <w:p w14:paraId="343309DC">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.9 成交供应商应按规定做好施工场地交通、夜间施工、建筑垃圾与渣土、生活垃圾等运输、工程和生活污水及噪音排放的申报工作，并承担因此发生的相关费用及因自身原因违反有关规定所造成的损失。成交供应商应根据采购人及政府相关部门要求，随时清理施工、生活现场，保持生产区、生活区的整洁，做到随时清运垃圾。相关费用已包含在合同总价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采购人有权现场监督成交供应商文明施工情况，若出现违反规定的，按照每人/次2000元处罚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52F4BDB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.10 成交供应商应采取恰当措施保护施工场地周边地下管线、公共设施和邻近建筑物、构筑物（含文物保护建筑）、古树名木等。由于成交供应商施工措施不当造成污染、侵损、破坏，或者堵塞排水管网等，由成交供应商承担所造成的损失。</w:t>
      </w:r>
    </w:p>
    <w:p w14:paraId="1C7CE12C">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.11 成交供应商对其不具有施工、维修资质或能力的工程，应如实向采购人反映，否则因此造成的责任由其承担。</w:t>
      </w:r>
    </w:p>
    <w:p w14:paraId="6370577D">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.12因成交供应商原因发生质量事故、安全事故的，由成交供应商承担事故全部赔偿责任。同时，采购人有权终止合同，给采购人造成损失的，还应承担赔偿责任。</w:t>
      </w:r>
    </w:p>
    <w:p w14:paraId="65A214A8">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.13 在明确违约责任后，成交供应商应在接到书面通知书起七天内支付违约金、赔偿金等，或采购人有权从未付款或履约保证金中扣除。</w:t>
      </w:r>
    </w:p>
    <w:p w14:paraId="6402D7EE">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.14 本采购文件未明确的其它约定事项或条款，待采购人与成交供应商签订合同时，由双方协商订立。</w:t>
      </w:r>
    </w:p>
    <w:p w14:paraId="23710BAC">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en-US" w:eastAsia="zh-CN"/>
        </w:rPr>
        <w:t>中标人必须遵守国家法律及相关管理制度。中标人的工作人员及车辆必须遵守招标人的工作制度和安全规定，服从招标人的指挥。中标人必须遵守招标人有关保密、安全的规章制度，严禁使用摄像机、照相机等摄影器材进行拍摄。不得向外界透露有关招标人的信息。未经招标人同意，不得将招标人的财务、技术、产品信息、工作人员资料或其他工作上的文件资料、工作内容、建筑物及构造、场所等以微信、微博、抖音等方式向本合同以外的任何第三方披露、发布、公开。中标人的工作人员和车辆进入招标人生产区时不得携带与本项目无关的任何物品，且不得接近无关人员，不得与无关人员聊天，不得四处走动，不得为无关人员捎带、传递任何物品。如发现中标人存在以上任一情形的，按人民币50000元支付违约金，涉事人员永远不得进入招标人单位，中标人必须更换人员（符合招标文件要求）。出现第二次，招标人将终止合同并不予退还履约保证金。若造成严重后果，招标人将依法追究法律责任。</w:t>
      </w:r>
      <w:r>
        <w:rPr>
          <w:rFonts w:hint="eastAsia" w:ascii="宋体" w:hAnsi="宋体" w:eastAsia="宋体" w:cs="宋体"/>
          <w:color w:val="auto"/>
          <w:sz w:val="24"/>
          <w:szCs w:val="24"/>
        </w:rPr>
        <w:t>。</w:t>
      </w:r>
    </w:p>
    <w:p w14:paraId="40CD5548">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.16除上述具体违约情形外，成交供应商出现违反采购文件、成交供应商响应文件要求的其他行为，每发现一次需向采购人支付违约金1000元或从履约保证金中扣除。</w:t>
      </w:r>
    </w:p>
    <w:p w14:paraId="4E19C9A6">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、诉讼相关费用承担</w:t>
      </w:r>
    </w:p>
    <w:p w14:paraId="261529C1">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.1若因成交供应商未履行本合同项下义务导致采购人所产生的一切损失（包括但不限于人身财产的损失、律师费、诉讼费、保全费、鉴定费等），均由成交供应商承担赔偿责任。</w:t>
      </w:r>
    </w:p>
    <w:p w14:paraId="6C0F0564">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宋体" w:hAnsi="宋体" w:eastAsia="宋体" w:cs="宋体"/>
          <w:b/>
          <w:bCs/>
          <w:color w:val="auto"/>
          <w:kern w:val="0"/>
          <w:sz w:val="24"/>
          <w:szCs w:val="24"/>
          <w:highlight w:val="none"/>
          <w:shd w:val="clear" w:color="auto" w:fill="FFFFFF"/>
          <w:lang w:eastAsia="zh-CN"/>
        </w:rPr>
      </w:pPr>
      <w:r>
        <w:rPr>
          <w:rFonts w:hint="eastAsia" w:ascii="宋体" w:hAnsi="宋体" w:eastAsia="宋体" w:cs="宋体"/>
          <w:b/>
          <w:bCs/>
          <w:color w:val="auto"/>
          <w:kern w:val="0"/>
          <w:sz w:val="24"/>
          <w:szCs w:val="24"/>
          <w:highlight w:val="none"/>
          <w:shd w:val="clear" w:color="auto" w:fill="FFFFFF"/>
          <w:lang w:val="en-US" w:eastAsia="zh-CN"/>
        </w:rPr>
        <w:t>12</w:t>
      </w:r>
      <w:r>
        <w:rPr>
          <w:rFonts w:hint="eastAsia" w:ascii="宋体" w:hAnsi="宋体" w:eastAsia="宋体" w:cs="宋体"/>
          <w:b/>
          <w:bCs/>
          <w:color w:val="auto"/>
          <w:kern w:val="0"/>
          <w:sz w:val="24"/>
          <w:szCs w:val="24"/>
          <w:highlight w:val="none"/>
          <w:shd w:val="clear" w:color="auto" w:fill="FFFFFF"/>
          <w:lang w:eastAsia="zh-CN"/>
        </w:rPr>
        <w:t>、不可抗力</w:t>
      </w:r>
    </w:p>
    <w:p w14:paraId="10768AE3">
      <w:pPr>
        <w:pStyle w:val="48"/>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shd w:val="clear" w:color="auto" w:fill="FFFFFF"/>
          <w:lang w:eastAsia="zh-CN"/>
        </w:rPr>
        <w:t>因不可抗力因素造成违约的，遭受不可抗力一方应及时让对方知晓不能履行或不能完全履行的理由。基于以上行为，允许遭受不可抗力一方延期履行、部分履行或者不能履行</w:t>
      </w:r>
      <w:r>
        <w:rPr>
          <w:rFonts w:hint="eastAsia" w:ascii="宋体" w:hAnsi="宋体" w:eastAsia="宋体" w:cs="宋体"/>
          <w:color w:val="auto"/>
          <w:kern w:val="0"/>
          <w:sz w:val="24"/>
          <w:szCs w:val="24"/>
          <w:highlight w:val="none"/>
          <w:shd w:val="clear" w:color="auto" w:fill="FFFFFF"/>
          <w:lang w:val="en-US" w:eastAsia="zh-CN"/>
        </w:rPr>
        <w:t>采购</w:t>
      </w:r>
      <w:r>
        <w:rPr>
          <w:rFonts w:hint="eastAsia" w:ascii="宋体" w:hAnsi="宋体" w:eastAsia="宋体" w:cs="宋体"/>
          <w:color w:val="auto"/>
          <w:kern w:val="0"/>
          <w:sz w:val="24"/>
          <w:szCs w:val="24"/>
          <w:highlight w:val="none"/>
          <w:shd w:val="clear" w:color="auto" w:fill="FFFFFF"/>
          <w:lang w:eastAsia="zh-CN"/>
        </w:rPr>
        <w:t>文件条款，并根据情况可部分或全部分免于承担违约责任。注：本条款不可抗力指不能预见、不能避免并不能克服的客观情况。包括但不限于：自然灾害（地震、台风、洪水、火灾）、政府行为、法律规定或其适用的变化，或者其他任何无法预见、避免（控制）的事件。</w:t>
      </w:r>
    </w:p>
    <w:p w14:paraId="737888B6">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、违约终止合同</w:t>
      </w:r>
    </w:p>
    <w:p w14:paraId="45F295EB">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.1在合同履行期间，若遇政府部门或上级单位出台有关该项目的政策调整，继续履行合同违反相关政策文件要求的，采购人须提前30日通知成交供应商终止合同，因此造成的合同解除采购人不承担违约责任。</w:t>
      </w:r>
    </w:p>
    <w:p w14:paraId="249395DD">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.2供应商出现以下情形之一的，采购人有权向供应商发出书面解约通知，终止全部或部分协议，同时采购人有权不予退还履约保证金：</w:t>
      </w:r>
    </w:p>
    <w:p w14:paraId="6E804521">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（1）在磋商过程中以违反法律、法规、规章、竞争性磋商文件规定的方法获得成交的</w:t>
      </w:r>
      <w:r>
        <w:rPr>
          <w:rFonts w:hint="eastAsia" w:ascii="宋体" w:hAnsi="宋体" w:eastAsia="宋体" w:cs="宋体"/>
          <w:color w:val="auto"/>
          <w:sz w:val="24"/>
          <w:szCs w:val="24"/>
          <w:lang w:eastAsia="zh-CN"/>
        </w:rPr>
        <w:t>。</w:t>
      </w:r>
    </w:p>
    <w:p w14:paraId="313E1397">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（2）非因不可抗力停止履行合同的</w:t>
      </w:r>
      <w:r>
        <w:rPr>
          <w:rFonts w:hint="eastAsia" w:ascii="宋体" w:hAnsi="宋体" w:eastAsia="宋体" w:cs="宋体"/>
          <w:color w:val="auto"/>
          <w:sz w:val="24"/>
          <w:szCs w:val="24"/>
          <w:lang w:eastAsia="zh-CN"/>
        </w:rPr>
        <w:t>。</w:t>
      </w:r>
    </w:p>
    <w:p w14:paraId="1A29BE8F">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（3）收到采购人的违约通知书之日起，30天内未履行违约责任的。</w:t>
      </w:r>
    </w:p>
    <w:p w14:paraId="6771B701">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（4）供应商提供的服务不符合协议约定且拒绝提供整改的</w:t>
      </w:r>
      <w:r>
        <w:rPr>
          <w:rFonts w:hint="eastAsia" w:ascii="宋体" w:hAnsi="宋体" w:eastAsia="宋体" w:cs="宋体"/>
          <w:color w:val="auto"/>
          <w:sz w:val="24"/>
          <w:szCs w:val="24"/>
          <w:lang w:eastAsia="zh-CN"/>
        </w:rPr>
        <w:t>。</w:t>
      </w:r>
    </w:p>
    <w:p w14:paraId="606963F5">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（5）供应商无故拒绝履行合同的。</w:t>
      </w:r>
    </w:p>
    <w:p w14:paraId="35B0DCCF">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（6）供应商未能履行协议项下的任何其它义务，或因供应商任何违约行为导致合同无法正常继续履行的。</w:t>
      </w:r>
    </w:p>
    <w:p w14:paraId="3B55CECA">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（7）其他严重损害采购人利益，导致协议难以继续履行的情形</w:t>
      </w:r>
      <w:r>
        <w:rPr>
          <w:rFonts w:hint="eastAsia" w:ascii="宋体" w:hAnsi="宋体" w:eastAsia="宋体" w:cs="宋体"/>
          <w:color w:val="auto"/>
          <w:sz w:val="24"/>
          <w:szCs w:val="24"/>
          <w:lang w:eastAsia="zh-CN"/>
        </w:rPr>
        <w:t>。</w:t>
      </w:r>
    </w:p>
    <w:p w14:paraId="4AA12861">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、保密要求</w:t>
      </w:r>
    </w:p>
    <w:p w14:paraId="35D75EB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成交供应商应当对本项目的内容、因履行本项目或在本项目合同期间知悉的或收到的采购人的财务、技术、产品信息、人员资料或其他工作上的文件资料、工作内容等予以保密，不得向本项目合同以外的任何第三方披露，签订并严格执行《单位保密承诺书》；鉴于场所的特殊性，所有项目施工人员须签订保密和安全协议。</w:t>
      </w:r>
    </w:p>
    <w:p w14:paraId="058A922D">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.2成交供应商违反本条约定泄露采购人的涉密信息的，应承担相应的法律责任，造成采购人损失的，成交供应商应当依法承担赔偿责任。</w:t>
      </w:r>
    </w:p>
    <w:p w14:paraId="4BD6ABB4">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.3本条款不因合同届满或解除而失效。</w:t>
      </w:r>
    </w:p>
    <w:p w14:paraId="6FC4AD11">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15</w:t>
      </w:r>
      <w:r>
        <w:rPr>
          <w:rFonts w:hint="eastAsia" w:ascii="宋体" w:hAnsi="宋体" w:eastAsia="宋体" w:cs="宋体"/>
          <w:b/>
          <w:bCs/>
          <w:color w:val="auto"/>
          <w:sz w:val="24"/>
          <w:szCs w:val="24"/>
        </w:rPr>
        <w:t>、廉政条款</w:t>
      </w:r>
    </w:p>
    <w:p w14:paraId="5CB2482A">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交供应商不得有以任何形式行贿采购单位工作人员的行为，若发现并被核查属实的，采购人有权解除合同且不退还履约保证金，情节严重的，成交供应商还要承担相应的法律责任；采购人及其工作人员不得索要或接受成交供应商的礼金及吃请等，如有违反廉政纪律等行为的，依据有关规定给予党纪、政纪或组织处理，情节严重的，还应承担相应的法律责任。</w:t>
      </w:r>
    </w:p>
    <w:p w14:paraId="29FA69FE">
      <w:pPr>
        <w:pStyle w:val="48"/>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2" w:firstLineChars="200"/>
        <w:jc w:val="both"/>
        <w:textAlignment w:val="auto"/>
        <w:rPr>
          <w:rFonts w:hint="eastAsia" w:ascii="宋体" w:hAnsi="宋体" w:eastAsia="宋体" w:cs="宋体"/>
          <w:b/>
          <w:bCs/>
          <w:color w:val="auto"/>
          <w:kern w:val="0"/>
          <w:sz w:val="24"/>
          <w:szCs w:val="24"/>
          <w:highlight w:val="none"/>
          <w:shd w:val="clear" w:color="auto" w:fill="FFFFFF"/>
          <w:lang w:val="en-US" w:eastAsia="zh-CN"/>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w:t>
      </w:r>
      <w:r>
        <w:rPr>
          <w:rFonts w:hint="eastAsia" w:ascii="宋体" w:hAnsi="宋体" w:eastAsia="宋体" w:cs="宋体"/>
          <w:b/>
          <w:bCs/>
          <w:color w:val="auto"/>
          <w:kern w:val="0"/>
          <w:sz w:val="24"/>
          <w:szCs w:val="24"/>
          <w:highlight w:val="none"/>
          <w:shd w:val="clear" w:color="auto" w:fill="FFFFFF"/>
          <w:lang w:val="en-US" w:eastAsia="zh-CN"/>
        </w:rPr>
        <w:t>专利及知识产权</w:t>
      </w:r>
    </w:p>
    <w:p w14:paraId="6C45B6B5">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rPr>
        <w:t>成交供应商</w:t>
      </w:r>
      <w:r>
        <w:rPr>
          <w:rFonts w:hint="default" w:ascii="宋体" w:hAnsi="宋体" w:eastAsia="宋体" w:cs="宋体"/>
          <w:color w:val="auto"/>
          <w:kern w:val="0"/>
          <w:sz w:val="24"/>
          <w:szCs w:val="24"/>
          <w:highlight w:val="none"/>
          <w:shd w:val="clear" w:color="auto" w:fill="FFFFFF"/>
          <w:lang w:val="en-US" w:eastAsia="zh-CN"/>
        </w:rPr>
        <w:t>须保障采购人在使用设备或</w:t>
      </w:r>
      <w:r>
        <w:rPr>
          <w:rFonts w:hint="eastAsia" w:ascii="宋体" w:hAnsi="宋体" w:eastAsia="宋体" w:cs="宋体"/>
          <w:color w:val="auto"/>
          <w:kern w:val="0"/>
          <w:sz w:val="24"/>
          <w:szCs w:val="24"/>
          <w:highlight w:val="none"/>
          <w:shd w:val="clear" w:color="auto" w:fill="FFFFFF"/>
          <w:lang w:val="en-US" w:eastAsia="zh-CN"/>
        </w:rPr>
        <w:t>图纸等</w:t>
      </w:r>
      <w:r>
        <w:rPr>
          <w:rFonts w:hint="default" w:ascii="宋体" w:hAnsi="宋体" w:eastAsia="宋体" w:cs="宋体"/>
          <w:color w:val="auto"/>
          <w:kern w:val="0"/>
          <w:sz w:val="24"/>
          <w:szCs w:val="24"/>
          <w:highlight w:val="none"/>
          <w:shd w:val="clear" w:color="auto" w:fill="FFFFFF"/>
          <w:lang w:val="en-US" w:eastAsia="zh-CN"/>
        </w:rPr>
        <w:t>其任何一部分时不受到第三方关于侵犯专利权、商标权或工业设计权等知识产权的指控。如果任何第三方提出侵权指控与采购人无关，</w:t>
      </w:r>
      <w:r>
        <w:rPr>
          <w:rFonts w:hint="eastAsia" w:ascii="宋体" w:hAnsi="宋体" w:eastAsia="宋体" w:cs="宋体"/>
          <w:color w:val="auto"/>
          <w:kern w:val="0"/>
          <w:sz w:val="24"/>
          <w:szCs w:val="24"/>
          <w:highlight w:val="none"/>
          <w:shd w:val="clear" w:color="auto" w:fill="FFFFFF"/>
          <w:lang w:val="en-US" w:eastAsia="zh-CN"/>
        </w:rPr>
        <w:t>成交</w:t>
      </w:r>
      <w:r>
        <w:rPr>
          <w:rFonts w:hint="default" w:ascii="宋体" w:hAnsi="宋体" w:eastAsia="宋体" w:cs="宋体"/>
          <w:color w:val="auto"/>
          <w:kern w:val="0"/>
          <w:sz w:val="24"/>
          <w:szCs w:val="24"/>
          <w:highlight w:val="none"/>
          <w:shd w:val="clear" w:color="auto" w:fill="FFFFFF"/>
          <w:lang w:val="en-US" w:eastAsia="zh-CN"/>
        </w:rPr>
        <w:t>供应商须与第三方交涉并承担可能发生的责任与一切费用。如采购人因此而遭致损失的，</w:t>
      </w:r>
      <w:r>
        <w:rPr>
          <w:rFonts w:hint="eastAsia" w:ascii="宋体" w:hAnsi="宋体" w:eastAsia="宋体" w:cs="宋体"/>
          <w:color w:val="auto"/>
          <w:kern w:val="0"/>
          <w:sz w:val="24"/>
          <w:szCs w:val="24"/>
          <w:highlight w:val="none"/>
          <w:shd w:val="clear" w:color="auto" w:fill="FFFFFF"/>
          <w:lang w:val="en-US" w:eastAsia="zh-CN"/>
        </w:rPr>
        <w:t>成交供应商</w:t>
      </w:r>
      <w:r>
        <w:rPr>
          <w:rFonts w:hint="default" w:ascii="宋体" w:hAnsi="宋体" w:eastAsia="宋体" w:cs="宋体"/>
          <w:color w:val="auto"/>
          <w:kern w:val="0"/>
          <w:sz w:val="24"/>
          <w:szCs w:val="24"/>
          <w:highlight w:val="none"/>
          <w:shd w:val="clear" w:color="auto" w:fill="FFFFFF"/>
          <w:lang w:val="en-US" w:eastAsia="zh-CN"/>
        </w:rPr>
        <w:t>应赔偿该损失。</w:t>
      </w:r>
    </w:p>
    <w:p w14:paraId="191D8097">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宋体" w:hAnsi="宋体" w:eastAsia="宋体" w:cs="宋体"/>
          <w:b/>
          <w:bCs/>
          <w:color w:val="auto"/>
          <w:kern w:val="0"/>
          <w:sz w:val="24"/>
          <w:szCs w:val="24"/>
          <w:highlight w:val="none"/>
          <w:shd w:val="clear" w:color="auto" w:fill="FFFFFF"/>
          <w:lang w:eastAsia="zh-CN"/>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shd w:val="clear" w:color="auto" w:fill="FFFFFF"/>
          <w:lang w:eastAsia="zh-CN"/>
        </w:rPr>
        <w:t>纠纷处理方式</w:t>
      </w:r>
    </w:p>
    <w:p w14:paraId="039F0805">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lang w:val="en-US" w:eastAsia="zh-CN"/>
        </w:rPr>
        <w:t>7</w:t>
      </w:r>
      <w:r>
        <w:rPr>
          <w:rFonts w:hint="eastAsia" w:ascii="宋体" w:hAnsi="宋体" w:eastAsia="宋体" w:cs="宋体"/>
          <w:color w:val="auto"/>
          <w:kern w:val="0"/>
          <w:sz w:val="24"/>
          <w:szCs w:val="24"/>
          <w:highlight w:val="none"/>
          <w:shd w:val="clear" w:color="auto" w:fill="FFFFFF"/>
          <w:lang w:eastAsia="zh-CN"/>
        </w:rPr>
        <w:t>.1合同争议处理方式</w:t>
      </w:r>
    </w:p>
    <w:p w14:paraId="6F0280BF">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eastAsia="zh-CN"/>
        </w:rPr>
        <w:t>采购人与</w:t>
      </w:r>
      <w:r>
        <w:rPr>
          <w:rFonts w:ascii="宋体" w:hAnsi="宋体" w:cs="宋体"/>
          <w:sz w:val="24"/>
          <w:szCs w:val="24"/>
          <w:highlight w:val="none"/>
          <w:lang w:eastAsia="zh-CN"/>
        </w:rPr>
        <w:t>成交供应商</w:t>
      </w:r>
      <w:r>
        <w:rPr>
          <w:rFonts w:hint="eastAsia" w:ascii="宋体" w:hAnsi="宋体" w:eastAsia="宋体" w:cs="宋体"/>
          <w:color w:val="auto"/>
          <w:kern w:val="0"/>
          <w:sz w:val="24"/>
          <w:szCs w:val="24"/>
          <w:highlight w:val="none"/>
          <w:shd w:val="clear" w:color="auto" w:fill="FFFFFF"/>
          <w:lang w:eastAsia="zh-CN"/>
        </w:rPr>
        <w:t>必须认真履行合同条款。因本</w:t>
      </w:r>
      <w:r>
        <w:rPr>
          <w:rFonts w:hint="eastAsia" w:ascii="宋体" w:hAnsi="宋体" w:eastAsia="宋体" w:cs="宋体"/>
          <w:color w:val="auto"/>
          <w:kern w:val="0"/>
          <w:sz w:val="24"/>
          <w:szCs w:val="24"/>
          <w:highlight w:val="none"/>
          <w:shd w:val="clear" w:color="auto" w:fill="FFFFFF"/>
          <w:lang w:val="en-US" w:eastAsia="zh-CN"/>
        </w:rPr>
        <w:t>项目</w:t>
      </w:r>
      <w:r>
        <w:rPr>
          <w:rFonts w:hint="eastAsia" w:ascii="宋体" w:hAnsi="宋体" w:eastAsia="宋体" w:cs="宋体"/>
          <w:color w:val="auto"/>
          <w:kern w:val="0"/>
          <w:sz w:val="24"/>
          <w:szCs w:val="24"/>
          <w:highlight w:val="none"/>
          <w:shd w:val="clear" w:color="auto" w:fill="FFFFFF"/>
          <w:lang w:eastAsia="zh-CN"/>
        </w:rPr>
        <w:t>合同或与</w:t>
      </w:r>
      <w:r>
        <w:rPr>
          <w:rFonts w:hint="eastAsia" w:ascii="宋体" w:hAnsi="宋体" w:eastAsia="宋体" w:cs="宋体"/>
          <w:color w:val="auto"/>
          <w:kern w:val="0"/>
          <w:sz w:val="24"/>
          <w:szCs w:val="24"/>
          <w:highlight w:val="none"/>
          <w:shd w:val="clear" w:color="auto" w:fill="FFFFFF"/>
          <w:lang w:val="en-US" w:eastAsia="zh-CN"/>
        </w:rPr>
        <w:t>项目</w:t>
      </w:r>
      <w:r>
        <w:rPr>
          <w:rFonts w:hint="eastAsia" w:ascii="宋体" w:hAnsi="宋体" w:eastAsia="宋体" w:cs="宋体"/>
          <w:color w:val="auto"/>
          <w:kern w:val="0"/>
          <w:sz w:val="24"/>
          <w:szCs w:val="24"/>
          <w:highlight w:val="none"/>
          <w:shd w:val="clear" w:color="auto" w:fill="FFFFFF"/>
          <w:lang w:eastAsia="zh-CN"/>
        </w:rPr>
        <w:t>本合同有关的一切事项发生争议，由双方友好协商解决，协商不成的，任何一方均可向采购人所在地人民法院提起诉讼。</w:t>
      </w:r>
    </w:p>
    <w:p w14:paraId="3ACB1B6A">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lang w:val="en-US" w:eastAsia="zh-CN"/>
        </w:rPr>
        <w:t>7</w:t>
      </w:r>
      <w:r>
        <w:rPr>
          <w:rFonts w:hint="eastAsia" w:ascii="宋体" w:hAnsi="宋体" w:eastAsia="宋体" w:cs="宋体"/>
          <w:color w:val="auto"/>
          <w:kern w:val="0"/>
          <w:sz w:val="24"/>
          <w:szCs w:val="24"/>
          <w:highlight w:val="none"/>
          <w:shd w:val="clear" w:color="auto" w:fill="FFFFFF"/>
          <w:lang w:eastAsia="zh-CN"/>
        </w:rPr>
        <w:t>.2若因</w:t>
      </w:r>
      <w:r>
        <w:rPr>
          <w:rFonts w:ascii="宋体" w:hAnsi="宋体" w:cs="宋体"/>
          <w:sz w:val="24"/>
          <w:szCs w:val="24"/>
          <w:highlight w:val="none"/>
          <w:lang w:eastAsia="zh-CN"/>
        </w:rPr>
        <w:t>成交供应商</w:t>
      </w:r>
      <w:r>
        <w:rPr>
          <w:rFonts w:hint="eastAsia" w:ascii="宋体" w:hAnsi="宋体" w:eastAsia="宋体" w:cs="宋体"/>
          <w:color w:val="auto"/>
          <w:kern w:val="0"/>
          <w:sz w:val="24"/>
          <w:szCs w:val="24"/>
          <w:highlight w:val="none"/>
          <w:shd w:val="clear" w:color="auto" w:fill="FFFFFF"/>
          <w:lang w:eastAsia="zh-CN"/>
        </w:rPr>
        <w:t>未按约定履行本合同项下义务导致采购人所产生的一切损失（包括但不限于人身财产的损失、律师费、诉讼费、保全费、鉴定费等），均由</w:t>
      </w:r>
      <w:r>
        <w:rPr>
          <w:rFonts w:ascii="宋体" w:hAnsi="宋体" w:cs="宋体"/>
          <w:sz w:val="24"/>
          <w:szCs w:val="24"/>
          <w:highlight w:val="none"/>
          <w:lang w:eastAsia="zh-CN"/>
        </w:rPr>
        <w:t>成交供应商</w:t>
      </w:r>
      <w:r>
        <w:rPr>
          <w:rFonts w:hint="eastAsia" w:ascii="宋体" w:hAnsi="宋体" w:eastAsia="宋体" w:cs="宋体"/>
          <w:color w:val="auto"/>
          <w:kern w:val="0"/>
          <w:sz w:val="24"/>
          <w:szCs w:val="24"/>
          <w:highlight w:val="none"/>
          <w:shd w:val="clear" w:color="auto" w:fill="FFFFFF"/>
          <w:lang w:eastAsia="zh-CN"/>
        </w:rPr>
        <w:t>承担赔偿责任。</w:t>
      </w:r>
    </w:p>
    <w:p w14:paraId="416EEB07">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lang w:val="en-US" w:eastAsia="zh-CN"/>
        </w:rPr>
        <w:t>7</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lang w:val="en-US" w:eastAsia="zh-CN"/>
        </w:rPr>
        <w:t>3</w:t>
      </w:r>
      <w:r>
        <w:rPr>
          <w:rFonts w:hint="eastAsia" w:ascii="宋体" w:hAnsi="宋体" w:eastAsia="宋体" w:cs="宋体"/>
          <w:color w:val="auto"/>
          <w:kern w:val="0"/>
          <w:sz w:val="24"/>
          <w:szCs w:val="24"/>
          <w:highlight w:val="none"/>
          <w:shd w:val="clear" w:color="auto" w:fill="FFFFFF"/>
          <w:lang w:eastAsia="zh-CN"/>
        </w:rPr>
        <w:t>合同补充和修改</w:t>
      </w:r>
    </w:p>
    <w:p w14:paraId="66FE676C">
      <w:pPr>
        <w:pStyle w:val="26"/>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eastAsia="zh-CN"/>
        </w:rPr>
        <w:t>本合同生效后，双方对合同内容的变更或补充应采取书面形式，并经双方签字并盖章确认。</w:t>
      </w:r>
    </w:p>
    <w:p w14:paraId="370A8309">
      <w:pPr>
        <w:pStyle w:val="4"/>
        <w:keepNext w:val="0"/>
        <w:keepLines w:val="0"/>
        <w:pageBreakBefore w:val="0"/>
        <w:numPr>
          <w:ilvl w:val="0"/>
          <w:numId w:val="0"/>
        </w:numPr>
        <w:shd w:val="clear" w:color="auto" w:fill="FFFFFF"/>
        <w:tabs>
          <w:tab w:val="left" w:pos="5852"/>
        </w:tabs>
        <w:kinsoku/>
        <w:wordWrap/>
        <w:overflowPunct/>
        <w:topLinePunct w:val="0"/>
        <w:autoSpaceDE/>
        <w:autoSpaceDN/>
        <w:bidi w:val="0"/>
        <w:adjustRightInd w:val="0"/>
        <w:snapToGrid w:val="0"/>
        <w:spacing w:beforeAutospacing="0" w:afterAutospacing="0" w:line="360" w:lineRule="auto"/>
        <w:ind w:left="0" w:firstLine="0"/>
        <w:textAlignment w:val="auto"/>
        <w:rPr>
          <w:rFonts w:hint="eastAsia" w:ascii="宋体" w:hAnsi="宋体" w:eastAsia="宋体" w:cs="宋体"/>
          <w:i w:val="0"/>
          <w:iCs w:val="0"/>
          <w:caps w:val="0"/>
          <w:color w:val="333333"/>
          <w:spacing w:val="0"/>
          <w:sz w:val="24"/>
          <w:szCs w:val="24"/>
          <w:highlight w:val="none"/>
          <w:shd w:val="clear" w:color="auto" w:fill="FFFFFF"/>
        </w:rPr>
      </w:pPr>
      <w:bookmarkStart w:id="168" w:name="_Toc10785"/>
      <w:r>
        <w:rPr>
          <w:rFonts w:hint="eastAsia" w:ascii="宋体" w:hAnsi="宋体" w:eastAsia="宋体" w:cs="宋体"/>
          <w:b/>
          <w:bCs/>
          <w:i w:val="0"/>
          <w:iCs w:val="0"/>
          <w:caps w:val="0"/>
          <w:color w:val="333333"/>
          <w:spacing w:val="0"/>
          <w:sz w:val="24"/>
          <w:szCs w:val="24"/>
          <w:highlight w:val="none"/>
          <w:shd w:val="clear" w:color="auto" w:fill="FFFFFF"/>
        </w:rPr>
        <w:t>四、其他事项</w:t>
      </w:r>
      <w:bookmarkEnd w:id="168"/>
    </w:p>
    <w:p w14:paraId="6D2986A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cs="宋体"/>
          <w:sz w:val="24"/>
          <w:szCs w:val="24"/>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除竞争性磋商文件另有规定外，若出现有关法律、行政法规和规章有强制性规定但磋商文件未列</w:t>
      </w:r>
      <w:r>
        <w:rPr>
          <w:rFonts w:hint="eastAsia" w:ascii="宋体" w:hAnsi="宋体" w:cs="宋体"/>
          <w:sz w:val="24"/>
          <w:szCs w:val="24"/>
        </w:rPr>
        <w:t>明的情形，则供应商应按照有关法律、行政法规和规章强制性规定执行。</w:t>
      </w:r>
    </w:p>
    <w:p w14:paraId="6AE8340C">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 xml:space="preserve">其他： </w:t>
      </w:r>
    </w:p>
    <w:p w14:paraId="343D699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right="0" w:firstLine="42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.1本项目不允许成交供应商以任何名义和理由在成交后将成交项目的主体、关键性工作进行转包、分包。</w:t>
      </w:r>
    </w:p>
    <w:p w14:paraId="13355ADB">
      <w:pPr>
        <w:pStyle w:val="39"/>
        <w:keepNext w:val="0"/>
        <w:keepLines w:val="0"/>
        <w:pageBreakBefore w:val="0"/>
        <w:kinsoku/>
        <w:wordWrap/>
        <w:topLinePunct w:val="0"/>
        <w:bidi w:val="0"/>
        <w:adjustRightInd w:val="0"/>
        <w:snapToGrid w:val="0"/>
        <w:spacing w:beforeAutospacing="0" w:afterAutospacing="0" w:line="360" w:lineRule="auto"/>
        <w:ind w:firstLine="480" w:firstLineChars="200"/>
        <w:rPr>
          <w:rStyle w:val="34"/>
          <w:rFonts w:hint="eastAsia" w:ascii="宋体" w:hAnsi="宋体" w:cs="宋体"/>
          <w:b w:val="0"/>
          <w:bCs w:val="0"/>
          <w:color w:val="auto"/>
          <w:sz w:val="24"/>
          <w:szCs w:val="24"/>
          <w:highlight w:val="none"/>
        </w:rPr>
      </w:pPr>
      <w:r>
        <w:rPr>
          <w:rFonts w:hint="eastAsia" w:ascii="宋体" w:hAnsi="宋体" w:cs="宋体"/>
          <w:sz w:val="24"/>
          <w:szCs w:val="24"/>
          <w:lang w:val="en-US" w:eastAsia="zh-CN"/>
        </w:rPr>
        <w:t>2</w:t>
      </w:r>
      <w:r>
        <w:rPr>
          <w:rFonts w:hint="eastAsia" w:ascii="宋体" w:hAnsi="宋体" w:cs="宋体"/>
          <w:sz w:val="24"/>
          <w:szCs w:val="24"/>
        </w:rPr>
        <w:t>.2本竞争性磋商文件未明确的其它约定事项或条款，待采购人与成交供应商签订合同时，由双方协商订立</w:t>
      </w:r>
      <w:r>
        <w:rPr>
          <w:rStyle w:val="34"/>
          <w:rFonts w:hint="eastAsia" w:ascii="宋体" w:hAnsi="宋体" w:cs="宋体"/>
          <w:b w:val="0"/>
          <w:bCs w:val="0"/>
          <w:color w:val="auto"/>
          <w:sz w:val="24"/>
          <w:szCs w:val="24"/>
          <w:highlight w:val="none"/>
        </w:rPr>
        <w:t>。</w:t>
      </w:r>
    </w:p>
    <w:p w14:paraId="34000E3E">
      <w:pPr>
        <w:pStyle w:val="48"/>
        <w:spacing w:line="400" w:lineRule="exact"/>
        <w:ind w:firstLine="480"/>
        <w:rPr>
          <w:rFonts w:ascii="宋体" w:hAnsi="宋体" w:cs="宋体"/>
          <w:color w:val="auto"/>
          <w:sz w:val="24"/>
          <w:highlight w:val="none"/>
        </w:rPr>
      </w:pPr>
    </w:p>
    <w:p w14:paraId="3908957D">
      <w:pPr>
        <w:pStyle w:val="2"/>
        <w:spacing w:before="120" w:line="360" w:lineRule="auto"/>
        <w:ind w:firstLine="2521" w:firstLineChars="700"/>
        <w:rPr>
          <w:rFonts w:hint="eastAsia" w:ascii="宋体" w:hAnsi="宋体"/>
          <w:color w:val="auto"/>
          <w:sz w:val="36"/>
        </w:rPr>
      </w:pPr>
      <w:r>
        <w:rPr>
          <w:rFonts w:hint="eastAsia" w:ascii="宋体" w:hAnsi="宋体" w:cs="宋体"/>
          <w:b/>
          <w:bCs/>
          <w:color w:val="auto"/>
          <w:sz w:val="36"/>
          <w:highlight w:val="none"/>
        </w:rPr>
        <w:br w:type="page"/>
      </w:r>
    </w:p>
    <w:p w14:paraId="52AAF6F6">
      <w:pPr>
        <w:pStyle w:val="3"/>
        <w:keepNext/>
        <w:keepLines/>
        <w:pageBreakBefore w:val="0"/>
        <w:widowControl w:val="0"/>
        <w:numPr>
          <w:ilvl w:val="0"/>
          <w:numId w:val="0"/>
        </w:numPr>
        <w:tabs>
          <w:tab w:val="clear" w:pos="900"/>
        </w:tabs>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color w:val="auto"/>
          <w:sz w:val="36"/>
        </w:rPr>
      </w:pPr>
      <w:bookmarkStart w:id="169" w:name="_Toc4702"/>
      <w:r>
        <w:rPr>
          <w:rFonts w:hint="eastAsia" w:ascii="宋体" w:hAnsi="宋体" w:eastAsia="宋体" w:cs="宋体"/>
          <w:color w:val="auto"/>
          <w:sz w:val="36"/>
        </w:rPr>
        <w:t>第四章  合同格式（参考文本）</w:t>
      </w:r>
      <w:bookmarkEnd w:id="169"/>
    </w:p>
    <w:p w14:paraId="4A5CCA8F">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outlineLvl w:val="3"/>
        <w:rPr>
          <w:rFonts w:hint="eastAsia" w:ascii="宋体" w:hAnsi="宋体" w:eastAsia="宋体" w:cs="宋体"/>
          <w:sz w:val="24"/>
          <w:szCs w:val="24"/>
        </w:rPr>
      </w:pPr>
      <w:r>
        <w:rPr>
          <w:rFonts w:hint="eastAsia" w:ascii="宋体" w:hAnsi="宋体" w:eastAsia="宋体" w:cs="宋体"/>
          <w:b/>
          <w:sz w:val="24"/>
          <w:szCs w:val="24"/>
        </w:rPr>
        <w:t>1.签订合同应遵守《中华人民共和国民法典》等法律法规及其他有关规定。</w:t>
      </w:r>
    </w:p>
    <w:p w14:paraId="47F560A9">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outlineLvl w:val="3"/>
        <w:rPr>
          <w:rFonts w:hint="eastAsia" w:ascii="宋体" w:hAnsi="宋体" w:eastAsia="宋体" w:cs="宋体"/>
          <w:sz w:val="24"/>
          <w:szCs w:val="24"/>
        </w:rPr>
      </w:pPr>
      <w:r>
        <w:rPr>
          <w:rFonts w:hint="eastAsia" w:ascii="宋体" w:hAnsi="宋体" w:eastAsia="宋体" w:cs="宋体"/>
          <w:b/>
          <w:sz w:val="24"/>
          <w:szCs w:val="24"/>
        </w:rPr>
        <w:t xml:space="preserve"> 2.签订合同时，采购人与成交</w:t>
      </w:r>
      <w:r>
        <w:rPr>
          <w:rFonts w:hint="eastAsia" w:ascii="宋体" w:hAnsi="宋体" w:eastAsia="宋体" w:cs="宋体"/>
          <w:b/>
          <w:sz w:val="24"/>
          <w:szCs w:val="24"/>
          <w:lang w:val="en-US" w:eastAsia="zh-CN"/>
        </w:rPr>
        <w:t>供应商</w:t>
      </w:r>
      <w:r>
        <w:rPr>
          <w:rFonts w:hint="eastAsia" w:ascii="宋体" w:hAnsi="宋体" w:eastAsia="宋体" w:cs="宋体"/>
          <w:b/>
          <w:sz w:val="24"/>
          <w:szCs w:val="24"/>
        </w:rPr>
        <w:t>应结合采购文件规定填列相应内容。采购文件已有约定的，双方均不得对约定进行变更或调整；采购文件未作规定的，双方可通过友好协商进行约定。</w:t>
      </w:r>
    </w:p>
    <w:p w14:paraId="26E35423">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outlineLvl w:val="3"/>
        <w:rPr>
          <w:rFonts w:hint="eastAsia" w:ascii="宋体" w:hAnsi="宋体" w:eastAsia="宋体" w:cs="宋体"/>
          <w:sz w:val="24"/>
          <w:szCs w:val="24"/>
        </w:rPr>
      </w:pP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3</w:t>
      </w:r>
      <w:r>
        <w:rPr>
          <w:rFonts w:hint="eastAsia" w:ascii="宋体" w:hAnsi="宋体" w:eastAsia="宋体" w:cs="宋体"/>
          <w:b/>
          <w:sz w:val="24"/>
          <w:szCs w:val="24"/>
        </w:rPr>
        <w:t>.本合同范本仅供参考，采购人应当根据采购项目的实际需求对合同条款进行修改、补充。</w:t>
      </w:r>
    </w:p>
    <w:p w14:paraId="758B1F1F">
      <w:pPr>
        <w:pStyle w:val="48"/>
        <w:keepNext w:val="0"/>
        <w:keepLines w:val="0"/>
        <w:pageBreakBefore w:val="0"/>
        <w:widowControl/>
        <w:kinsoku/>
        <w:wordWrap/>
        <w:overflowPunct/>
        <w:topLinePunct w:val="0"/>
        <w:autoSpaceDE/>
        <w:autoSpaceDN/>
        <w:bidi w:val="0"/>
        <w:adjustRightInd/>
        <w:snapToGrid/>
        <w:spacing w:line="400" w:lineRule="exact"/>
        <w:ind w:left="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甲方： </w:t>
      </w:r>
      <w:r>
        <w:rPr>
          <w:rFonts w:hint="eastAsia" w:ascii="宋体" w:hAnsi="宋体" w:eastAsia="宋体" w:cs="宋体"/>
          <w:sz w:val="24"/>
          <w:szCs w:val="24"/>
          <w:u w:val="single"/>
          <w:lang w:val="en-US" w:eastAsia="zh-CN"/>
        </w:rPr>
        <w:t xml:space="preserve">                   </w:t>
      </w:r>
    </w:p>
    <w:p w14:paraId="1DAD371F">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住所地： </w:t>
      </w:r>
      <w:r>
        <w:rPr>
          <w:rFonts w:hint="eastAsia" w:ascii="宋体" w:hAnsi="宋体" w:eastAsia="宋体" w:cs="宋体"/>
          <w:sz w:val="24"/>
          <w:szCs w:val="24"/>
          <w:u w:val="single"/>
          <w:lang w:val="en-US" w:eastAsia="zh-CN"/>
        </w:rPr>
        <w:t xml:space="preserve">                   </w:t>
      </w:r>
    </w:p>
    <w:p w14:paraId="72E3FB2B">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联系人： </w:t>
      </w:r>
      <w:r>
        <w:rPr>
          <w:rFonts w:hint="eastAsia" w:ascii="宋体" w:hAnsi="宋体" w:eastAsia="宋体" w:cs="宋体"/>
          <w:sz w:val="24"/>
          <w:szCs w:val="24"/>
          <w:u w:val="single"/>
          <w:lang w:val="en-US" w:eastAsia="zh-CN"/>
        </w:rPr>
        <w:t xml:space="preserve">                   </w:t>
      </w:r>
    </w:p>
    <w:p w14:paraId="10FD752E">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lang w:val="en-US" w:eastAsia="zh-CN"/>
        </w:rPr>
        <w:t xml:space="preserve">                   </w:t>
      </w:r>
    </w:p>
    <w:p w14:paraId="08D1FC76">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传真：</w:t>
      </w:r>
      <w:r>
        <w:rPr>
          <w:rFonts w:hint="eastAsia" w:ascii="宋体" w:hAnsi="宋体" w:eastAsia="宋体" w:cs="宋体"/>
          <w:sz w:val="24"/>
          <w:szCs w:val="24"/>
          <w:u w:val="single"/>
          <w:lang w:val="en-US" w:eastAsia="zh-CN"/>
        </w:rPr>
        <w:t xml:space="preserve">                   </w:t>
      </w:r>
    </w:p>
    <w:p w14:paraId="42290A1F">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电子邮箱：</w:t>
      </w:r>
      <w:r>
        <w:rPr>
          <w:rFonts w:hint="eastAsia" w:ascii="宋体" w:hAnsi="宋体" w:eastAsia="宋体" w:cs="宋体"/>
          <w:sz w:val="24"/>
          <w:szCs w:val="24"/>
          <w:u w:val="single"/>
          <w:lang w:val="en-US" w:eastAsia="zh-CN"/>
        </w:rPr>
        <w:t xml:space="preserve">                   </w:t>
      </w:r>
    </w:p>
    <w:p w14:paraId="3874F7F6">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eastAsia="zh-CN"/>
        </w:rPr>
      </w:pPr>
    </w:p>
    <w:p w14:paraId="2E96300F">
      <w:pPr>
        <w:pStyle w:val="48"/>
        <w:keepNext w:val="0"/>
        <w:keepLines w:val="0"/>
        <w:pageBreakBefore w:val="0"/>
        <w:widowControl/>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乙方： </w:t>
      </w:r>
      <w:r>
        <w:rPr>
          <w:rFonts w:hint="eastAsia" w:ascii="宋体" w:hAnsi="宋体" w:eastAsia="宋体" w:cs="宋体"/>
          <w:sz w:val="24"/>
          <w:szCs w:val="24"/>
          <w:u w:val="single"/>
          <w:lang w:val="en-US" w:eastAsia="zh-CN"/>
        </w:rPr>
        <w:t xml:space="preserve">                   </w:t>
      </w:r>
    </w:p>
    <w:p w14:paraId="4AFC8DE5">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住所地： </w:t>
      </w:r>
      <w:r>
        <w:rPr>
          <w:rFonts w:hint="eastAsia" w:ascii="宋体" w:hAnsi="宋体" w:eastAsia="宋体" w:cs="宋体"/>
          <w:sz w:val="24"/>
          <w:szCs w:val="24"/>
          <w:u w:val="single"/>
          <w:lang w:val="en-US" w:eastAsia="zh-CN"/>
        </w:rPr>
        <w:t xml:space="preserve">                   </w:t>
      </w:r>
    </w:p>
    <w:p w14:paraId="04CCE131">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联系人：</w:t>
      </w:r>
      <w:r>
        <w:rPr>
          <w:rFonts w:hint="eastAsia" w:ascii="宋体" w:hAnsi="宋体" w:eastAsia="宋体" w:cs="宋体"/>
          <w:sz w:val="24"/>
          <w:szCs w:val="24"/>
          <w:u w:val="single"/>
          <w:lang w:val="en-US" w:eastAsia="zh-CN"/>
        </w:rPr>
        <w:t xml:space="preserve">                   </w:t>
      </w:r>
    </w:p>
    <w:p w14:paraId="27B224C3">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联系电话：</w:t>
      </w:r>
      <w:r>
        <w:rPr>
          <w:rFonts w:hint="eastAsia" w:ascii="宋体" w:hAnsi="宋体" w:eastAsia="宋体" w:cs="宋体"/>
          <w:sz w:val="24"/>
          <w:szCs w:val="24"/>
          <w:u w:val="single"/>
          <w:lang w:val="en-US" w:eastAsia="zh-CN"/>
        </w:rPr>
        <w:t xml:space="preserve">                   </w:t>
      </w:r>
    </w:p>
    <w:p w14:paraId="7CAEB144">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传真：</w:t>
      </w:r>
      <w:r>
        <w:rPr>
          <w:rFonts w:hint="eastAsia" w:ascii="宋体" w:hAnsi="宋体" w:eastAsia="宋体" w:cs="宋体"/>
          <w:sz w:val="24"/>
          <w:szCs w:val="24"/>
          <w:u w:val="single"/>
          <w:lang w:val="en-US" w:eastAsia="zh-CN"/>
        </w:rPr>
        <w:t xml:space="preserve">                   </w:t>
      </w:r>
    </w:p>
    <w:p w14:paraId="5BDDA8E5">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电子邮箱：</w:t>
      </w:r>
      <w:r>
        <w:rPr>
          <w:rFonts w:hint="eastAsia" w:ascii="宋体" w:hAnsi="宋体" w:eastAsia="宋体" w:cs="宋体"/>
          <w:sz w:val="24"/>
          <w:szCs w:val="24"/>
          <w:u w:val="single"/>
          <w:lang w:val="en-US" w:eastAsia="zh-CN"/>
        </w:rPr>
        <w:t xml:space="preserve">                   </w:t>
      </w:r>
    </w:p>
    <w:p w14:paraId="2E27C5F6">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一、合同组成部分</w:t>
      </w:r>
    </w:p>
    <w:p w14:paraId="3F207AF0">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1.1本合同条款及附件；</w:t>
      </w:r>
    </w:p>
    <w:p w14:paraId="500AD4FD">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1.2采购文件及其附件、补充文件；</w:t>
      </w:r>
    </w:p>
    <w:p w14:paraId="6943E1BE">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1.3乙方的响应文件及其附件、补充文件；</w:t>
      </w:r>
    </w:p>
    <w:p w14:paraId="6CB63616">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1.4其他文件或工程量清单等材料：</w:t>
      </w:r>
    </w:p>
    <w:p w14:paraId="228EECF8">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（根据乙方响应文件人员详情</w:t>
      </w:r>
      <w:r>
        <w:rPr>
          <w:rFonts w:hint="eastAsia" w:ascii="宋体" w:hAnsi="宋体" w:eastAsia="宋体" w:cs="宋体"/>
          <w:sz w:val="24"/>
          <w:szCs w:val="24"/>
          <w:lang w:val="en-US" w:eastAsia="zh-CN"/>
        </w:rPr>
        <w:t>填写</w:t>
      </w:r>
      <w:r>
        <w:rPr>
          <w:rFonts w:hint="eastAsia" w:ascii="宋体" w:hAnsi="宋体" w:eastAsia="宋体" w:cs="宋体"/>
          <w:sz w:val="24"/>
          <w:szCs w:val="24"/>
          <w:lang w:eastAsia="zh-CN"/>
        </w:rPr>
        <w:t>）</w:t>
      </w:r>
    </w:p>
    <w:tbl>
      <w:tblPr>
        <w:tblStyle w:val="32"/>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864"/>
        <w:gridCol w:w="2100"/>
        <w:gridCol w:w="850"/>
        <w:gridCol w:w="1625"/>
        <w:gridCol w:w="2100"/>
        <w:gridCol w:w="1200"/>
      </w:tblGrid>
      <w:tr w14:paraId="4AA8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noWrap w:val="0"/>
            <w:vAlign w:val="center"/>
          </w:tcPr>
          <w:p w14:paraId="15456BA7">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864" w:type="dxa"/>
            <w:noWrap w:val="0"/>
            <w:vAlign w:val="center"/>
          </w:tcPr>
          <w:p w14:paraId="20D0B53B">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名字</w:t>
            </w:r>
          </w:p>
        </w:tc>
        <w:tc>
          <w:tcPr>
            <w:tcW w:w="2100" w:type="dxa"/>
            <w:noWrap w:val="0"/>
            <w:vAlign w:val="center"/>
          </w:tcPr>
          <w:p w14:paraId="2EB04EF7">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身份证号码</w:t>
            </w:r>
          </w:p>
        </w:tc>
        <w:tc>
          <w:tcPr>
            <w:tcW w:w="850" w:type="dxa"/>
            <w:noWrap w:val="0"/>
            <w:vAlign w:val="center"/>
          </w:tcPr>
          <w:p w14:paraId="5A0EDE35">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工种</w:t>
            </w:r>
          </w:p>
        </w:tc>
        <w:tc>
          <w:tcPr>
            <w:tcW w:w="1625" w:type="dxa"/>
            <w:noWrap w:val="0"/>
            <w:vAlign w:val="center"/>
          </w:tcPr>
          <w:p w14:paraId="3EA1AEC1">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证书名称</w:t>
            </w:r>
          </w:p>
        </w:tc>
        <w:tc>
          <w:tcPr>
            <w:tcW w:w="2100" w:type="dxa"/>
            <w:noWrap w:val="0"/>
            <w:vAlign w:val="center"/>
          </w:tcPr>
          <w:p w14:paraId="6472AF3D">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证书编号</w:t>
            </w:r>
          </w:p>
        </w:tc>
        <w:tc>
          <w:tcPr>
            <w:tcW w:w="1200" w:type="dxa"/>
            <w:noWrap w:val="0"/>
            <w:vAlign w:val="center"/>
          </w:tcPr>
          <w:p w14:paraId="61ACC7F1">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岗位名称</w:t>
            </w:r>
          </w:p>
        </w:tc>
      </w:tr>
      <w:tr w14:paraId="3F60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716" w:type="dxa"/>
            <w:noWrap w:val="0"/>
            <w:vAlign w:val="center"/>
          </w:tcPr>
          <w:p w14:paraId="0FA0D42A">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864" w:type="dxa"/>
            <w:noWrap w:val="0"/>
            <w:vAlign w:val="center"/>
          </w:tcPr>
          <w:p w14:paraId="6B937FA3">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2100" w:type="dxa"/>
            <w:noWrap w:val="0"/>
            <w:vAlign w:val="center"/>
          </w:tcPr>
          <w:p w14:paraId="7181F265">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850" w:type="dxa"/>
            <w:noWrap w:val="0"/>
            <w:vAlign w:val="center"/>
          </w:tcPr>
          <w:p w14:paraId="57825137">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1625" w:type="dxa"/>
            <w:noWrap w:val="0"/>
            <w:vAlign w:val="center"/>
          </w:tcPr>
          <w:p w14:paraId="1494235A">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2100" w:type="dxa"/>
            <w:noWrap w:val="0"/>
            <w:vAlign w:val="center"/>
          </w:tcPr>
          <w:p w14:paraId="1F2FA4C2">
            <w:pPr>
              <w:pStyle w:val="48"/>
              <w:keepNext w:val="0"/>
              <w:keepLines w:val="0"/>
              <w:pageBreakBefore w:val="0"/>
              <w:widowControl/>
              <w:kinsoku/>
              <w:wordWrap w:val="0"/>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1200" w:type="dxa"/>
            <w:noWrap w:val="0"/>
            <w:vAlign w:val="center"/>
          </w:tcPr>
          <w:p w14:paraId="2CF259FC">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r>
      <w:tr w14:paraId="6CE6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716" w:type="dxa"/>
            <w:noWrap w:val="0"/>
            <w:vAlign w:val="center"/>
          </w:tcPr>
          <w:p w14:paraId="2F8C4BEC">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864" w:type="dxa"/>
            <w:noWrap w:val="0"/>
            <w:vAlign w:val="center"/>
          </w:tcPr>
          <w:p w14:paraId="62D7339A">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2100" w:type="dxa"/>
            <w:noWrap w:val="0"/>
            <w:vAlign w:val="center"/>
          </w:tcPr>
          <w:p w14:paraId="74237D68">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850" w:type="dxa"/>
            <w:noWrap w:val="0"/>
            <w:vAlign w:val="center"/>
          </w:tcPr>
          <w:p w14:paraId="269E9285">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1625" w:type="dxa"/>
            <w:noWrap w:val="0"/>
            <w:vAlign w:val="center"/>
          </w:tcPr>
          <w:p w14:paraId="2F507832">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2100" w:type="dxa"/>
            <w:noWrap w:val="0"/>
            <w:vAlign w:val="center"/>
          </w:tcPr>
          <w:p w14:paraId="04C21FB5">
            <w:pPr>
              <w:pStyle w:val="48"/>
              <w:keepNext w:val="0"/>
              <w:keepLines w:val="0"/>
              <w:pageBreakBefore w:val="0"/>
              <w:widowControl/>
              <w:kinsoku/>
              <w:wordWrap w:val="0"/>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c>
          <w:tcPr>
            <w:tcW w:w="1200" w:type="dxa"/>
            <w:noWrap w:val="0"/>
            <w:vAlign w:val="center"/>
          </w:tcPr>
          <w:p w14:paraId="6C441A69">
            <w:pPr>
              <w:pStyle w:val="48"/>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outlineLvl w:val="3"/>
              <w:rPr>
                <w:rFonts w:hint="eastAsia" w:ascii="宋体" w:hAnsi="宋体" w:eastAsia="宋体" w:cs="宋体"/>
                <w:sz w:val="24"/>
                <w:szCs w:val="24"/>
                <w:vertAlign w:val="baseline"/>
                <w:lang w:val="en-US" w:eastAsia="zh-CN"/>
              </w:rPr>
            </w:pPr>
          </w:p>
        </w:tc>
      </w:tr>
    </w:tbl>
    <w:p w14:paraId="2395C2C4">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highlight w:val="none"/>
          <w:vertAlign w:val="baseline"/>
        </w:rPr>
      </w:pPr>
      <w:r>
        <w:rPr>
          <w:rFonts w:hint="eastAsia" w:ascii="宋体" w:hAnsi="宋体" w:eastAsia="宋体" w:cs="宋体"/>
          <w:b/>
          <w:sz w:val="24"/>
          <w:szCs w:val="24"/>
        </w:rPr>
        <w:t>二、合同标的</w:t>
      </w:r>
    </w:p>
    <w:p w14:paraId="706B6C15">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color w:val="auto"/>
          <w:sz w:val="24"/>
          <w:szCs w:val="24"/>
          <w:highlight w:val="none"/>
        </w:rPr>
      </w:pPr>
      <w:r>
        <w:rPr>
          <w:rFonts w:ascii="宋体" w:hAnsi="宋体" w:eastAsia="宋体" w:cs="宋体"/>
          <w:color w:val="auto"/>
          <w:sz w:val="24"/>
          <w:szCs w:val="24"/>
          <w:highlight w:val="none"/>
          <w:shd w:val="clear" w:color="auto" w:fill="FFFFFF"/>
        </w:rPr>
        <w:t>1、</w:t>
      </w:r>
      <w:r>
        <w:rPr>
          <w:rFonts w:ascii="宋体" w:hAnsi="宋体" w:eastAsia="宋体" w:cs="宋体"/>
          <w:color w:val="auto"/>
          <w:sz w:val="24"/>
          <w:szCs w:val="24"/>
          <w:highlight w:val="none"/>
        </w:rPr>
        <w:t>本项目拟采购的</w:t>
      </w:r>
      <w:r>
        <w:rPr>
          <w:rFonts w:hint="eastAsia" w:ascii="宋体" w:hAnsi="宋体" w:eastAsia="宋体" w:cs="宋体"/>
          <w:color w:val="auto"/>
          <w:sz w:val="24"/>
          <w:szCs w:val="24"/>
          <w:highlight w:val="none"/>
        </w:rPr>
        <w:t>福建省楚源服饰有限责任公司</w:t>
      </w:r>
      <w:r>
        <w:rPr>
          <w:rFonts w:ascii="宋体" w:hAnsi="宋体" w:eastAsia="宋体" w:cs="宋体"/>
          <w:color w:val="auto"/>
          <w:sz w:val="24"/>
          <w:szCs w:val="24"/>
          <w:highlight w:val="none"/>
        </w:rPr>
        <w:t>年度单项施工100万元以下项目施工单位采购项目是指单项合同估算金额在100万元以下工程施工项目，具体以</w:t>
      </w:r>
      <w:r>
        <w:rPr>
          <w:rFonts w:ascii="宋体" w:hAnsi="宋体" w:eastAsia="宋体" w:cs="宋体"/>
          <w:color w:val="auto"/>
          <w:sz w:val="24"/>
          <w:szCs w:val="24"/>
          <w:highlight w:val="none"/>
          <w:shd w:val="clear" w:color="auto" w:fill="FFFFFF"/>
        </w:rPr>
        <w:t>各单个项目</w:t>
      </w:r>
      <w:r>
        <w:rPr>
          <w:rFonts w:ascii="宋体" w:hAnsi="宋体" w:eastAsia="宋体" w:cs="宋体"/>
          <w:color w:val="auto"/>
          <w:sz w:val="24"/>
          <w:szCs w:val="24"/>
          <w:highlight w:val="none"/>
        </w:rPr>
        <w:t>工程量清单为准，施工图纸为依据。服务期限为1年，项目总额（合同价）不超过</w:t>
      </w:r>
      <w:r>
        <w:rPr>
          <w:rFonts w:hint="eastAsia" w:ascii="宋体" w:hAnsi="宋体" w:eastAsia="宋体" w:cs="宋体"/>
          <w:color w:val="auto"/>
          <w:sz w:val="24"/>
          <w:szCs w:val="24"/>
          <w:highlight w:val="none"/>
          <w:lang w:val="en-US" w:eastAsia="zh-CN"/>
        </w:rPr>
        <w:t>200</w:t>
      </w:r>
      <w:r>
        <w:rPr>
          <w:rFonts w:ascii="宋体" w:hAnsi="宋体" w:eastAsia="宋体" w:cs="宋体"/>
          <w:color w:val="auto"/>
          <w:sz w:val="24"/>
          <w:szCs w:val="24"/>
          <w:highlight w:val="none"/>
        </w:rPr>
        <w:t>万元。</w:t>
      </w:r>
    </w:p>
    <w:p w14:paraId="5FBFC63B">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both"/>
        <w:textAlignment w:val="auto"/>
        <w:rPr>
          <w:color w:val="auto"/>
          <w:sz w:val="24"/>
          <w:szCs w:val="24"/>
          <w:highlight w:val="none"/>
        </w:rPr>
      </w:pPr>
      <w:r>
        <w:rPr>
          <w:rFonts w:ascii="宋体" w:hAnsi="宋体" w:eastAsia="宋体" w:cs="宋体"/>
          <w:color w:val="auto"/>
          <w:sz w:val="24"/>
          <w:szCs w:val="24"/>
          <w:highlight w:val="none"/>
          <w:shd w:val="clear" w:color="auto" w:fill="FFFFFF"/>
        </w:rPr>
        <w:t>2、本项目各单个项目的预算均依据设计单位提供的设计图纸或设计说明等，由</w:t>
      </w:r>
      <w:r>
        <w:rPr>
          <w:rFonts w:hint="eastAsia" w:ascii="宋体" w:hAnsi="宋体" w:eastAsia="宋体" w:cs="宋体"/>
          <w:color w:val="auto"/>
          <w:sz w:val="24"/>
          <w:szCs w:val="24"/>
          <w:highlight w:val="none"/>
          <w:shd w:val="clear" w:color="auto" w:fill="FFFFFF"/>
          <w:lang w:val="en-US" w:eastAsia="zh-CN"/>
        </w:rPr>
        <w:t>甲方</w:t>
      </w:r>
      <w:r>
        <w:rPr>
          <w:rFonts w:ascii="宋体" w:hAnsi="宋体" w:eastAsia="宋体" w:cs="宋体"/>
          <w:color w:val="auto"/>
          <w:sz w:val="24"/>
          <w:szCs w:val="24"/>
          <w:highlight w:val="none"/>
          <w:shd w:val="clear" w:color="auto" w:fill="FFFFFF"/>
        </w:rPr>
        <w:t>委托造价咨询单位编制预算，不存在由议价、估价等产生的造价。</w:t>
      </w:r>
    </w:p>
    <w:p w14:paraId="43B126A3">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both"/>
        <w:textAlignment w:val="auto"/>
        <w:rPr>
          <w:color w:val="auto"/>
          <w:sz w:val="24"/>
          <w:szCs w:val="24"/>
          <w:highlight w:val="none"/>
        </w:rPr>
      </w:pPr>
      <w:r>
        <w:rPr>
          <w:rFonts w:ascii="宋体" w:hAnsi="宋体" w:eastAsia="宋体" w:cs="宋体"/>
          <w:color w:val="auto"/>
          <w:sz w:val="24"/>
          <w:szCs w:val="24"/>
          <w:highlight w:val="none"/>
          <w:shd w:val="clear" w:color="auto" w:fill="FFFFFF"/>
        </w:rPr>
        <w:t>3、</w:t>
      </w:r>
      <w:r>
        <w:rPr>
          <w:rFonts w:hint="eastAsia" w:ascii="宋体" w:hAnsi="宋体" w:eastAsia="宋体" w:cs="宋体"/>
          <w:color w:val="auto"/>
          <w:sz w:val="24"/>
          <w:szCs w:val="24"/>
          <w:highlight w:val="none"/>
          <w:shd w:val="clear" w:color="auto" w:fill="FFFFFF"/>
          <w:lang w:val="en-US" w:eastAsia="zh-CN"/>
        </w:rPr>
        <w:t>甲方</w:t>
      </w:r>
      <w:r>
        <w:rPr>
          <w:rFonts w:ascii="宋体" w:hAnsi="宋体" w:eastAsia="宋体" w:cs="宋体"/>
          <w:color w:val="auto"/>
          <w:sz w:val="24"/>
          <w:szCs w:val="24"/>
          <w:highlight w:val="none"/>
          <w:shd w:val="clear" w:color="auto" w:fill="FFFFFF"/>
        </w:rPr>
        <w:t>根据竞争性磋商文件、响应文件等与</w:t>
      </w:r>
      <w:r>
        <w:rPr>
          <w:rFonts w:hint="eastAsia" w:ascii="宋体" w:hAnsi="宋体" w:eastAsia="宋体" w:cs="宋体"/>
          <w:color w:val="auto"/>
          <w:sz w:val="24"/>
          <w:szCs w:val="24"/>
          <w:highlight w:val="none"/>
          <w:shd w:val="clear" w:color="auto" w:fill="FFFFFF"/>
          <w:lang w:val="en-US" w:eastAsia="zh-CN"/>
        </w:rPr>
        <w:t>乙方</w:t>
      </w:r>
      <w:r>
        <w:rPr>
          <w:rFonts w:ascii="宋体" w:hAnsi="宋体" w:eastAsia="宋体" w:cs="宋体"/>
          <w:color w:val="auto"/>
          <w:sz w:val="24"/>
          <w:szCs w:val="24"/>
          <w:highlight w:val="none"/>
          <w:shd w:val="clear" w:color="auto" w:fill="FFFFFF"/>
        </w:rPr>
        <w:t>签订采购合同，单个项目（合同估算价100万元以下）双方根据采购合同签订单项施工协议，单项施工协议造价为</w:t>
      </w:r>
      <w:r>
        <w:rPr>
          <w:rFonts w:hint="eastAsia" w:ascii="宋体" w:hAnsi="宋体" w:eastAsia="宋体" w:cs="宋体"/>
          <w:color w:val="auto"/>
          <w:sz w:val="24"/>
          <w:szCs w:val="24"/>
          <w:highlight w:val="none"/>
          <w:shd w:val="clear" w:color="auto" w:fill="FFFFFF"/>
          <w:lang w:val="en-US" w:eastAsia="zh-CN"/>
        </w:rPr>
        <w:t>乙方</w:t>
      </w:r>
      <w:r>
        <w:rPr>
          <w:rFonts w:ascii="宋体" w:hAnsi="宋体" w:eastAsia="宋体" w:cs="宋体"/>
          <w:color w:val="auto"/>
          <w:sz w:val="24"/>
          <w:szCs w:val="24"/>
          <w:highlight w:val="none"/>
          <w:shd w:val="clear" w:color="auto" w:fill="FFFFFF"/>
        </w:rPr>
        <w:t>成交价下浮后造价。</w:t>
      </w:r>
      <w:r>
        <w:rPr>
          <w:rFonts w:ascii="宋体" w:hAnsi="宋体" w:eastAsia="宋体" w:cs="宋体"/>
          <w:color w:val="auto"/>
          <w:sz w:val="24"/>
          <w:szCs w:val="24"/>
          <w:highlight w:val="none"/>
        </w:rPr>
        <w:t>各项目合同价总额不超过</w:t>
      </w:r>
      <w:r>
        <w:rPr>
          <w:rFonts w:hint="eastAsia" w:ascii="宋体" w:hAnsi="宋体" w:eastAsia="宋体" w:cs="宋体"/>
          <w:color w:val="auto"/>
          <w:sz w:val="24"/>
          <w:szCs w:val="24"/>
          <w:highlight w:val="none"/>
          <w:lang w:val="en-US" w:eastAsia="zh-CN"/>
        </w:rPr>
        <w:t>200</w:t>
      </w:r>
      <w:r>
        <w:rPr>
          <w:rFonts w:ascii="宋体" w:hAnsi="宋体" w:eastAsia="宋体" w:cs="宋体"/>
          <w:color w:val="auto"/>
          <w:sz w:val="24"/>
          <w:szCs w:val="24"/>
          <w:highlight w:val="none"/>
        </w:rPr>
        <w:t>万元。</w:t>
      </w:r>
      <w:r>
        <w:rPr>
          <w:rFonts w:ascii="宋体" w:hAnsi="宋体" w:eastAsia="宋体" w:cs="宋体"/>
          <w:color w:val="auto"/>
          <w:sz w:val="24"/>
          <w:szCs w:val="24"/>
          <w:highlight w:val="none"/>
          <w:shd w:val="clear" w:color="auto" w:fill="FFFFFF"/>
        </w:rPr>
        <w:t>采购单位付款前，</w:t>
      </w:r>
      <w:r>
        <w:rPr>
          <w:rFonts w:hint="eastAsia" w:ascii="宋体" w:hAnsi="宋体" w:eastAsia="宋体" w:cs="宋体"/>
          <w:color w:val="auto"/>
          <w:sz w:val="24"/>
          <w:szCs w:val="24"/>
          <w:highlight w:val="none"/>
          <w:shd w:val="clear" w:color="auto" w:fill="FFFFFF"/>
          <w:lang w:val="en-US" w:eastAsia="zh-CN"/>
        </w:rPr>
        <w:t>乙方</w:t>
      </w:r>
      <w:r>
        <w:rPr>
          <w:rFonts w:ascii="宋体" w:hAnsi="宋体" w:eastAsia="宋体" w:cs="宋体"/>
          <w:color w:val="auto"/>
          <w:sz w:val="24"/>
          <w:szCs w:val="24"/>
          <w:highlight w:val="none"/>
          <w:shd w:val="clear" w:color="auto" w:fill="FFFFFF"/>
        </w:rPr>
        <w:t>须提供合法有效的增值税</w:t>
      </w:r>
      <w:r>
        <w:rPr>
          <w:rFonts w:hint="eastAsia" w:ascii="宋体" w:hAnsi="宋体" w:eastAsia="宋体" w:cs="宋体"/>
          <w:color w:val="auto"/>
          <w:sz w:val="24"/>
          <w:szCs w:val="24"/>
          <w:highlight w:val="none"/>
          <w:shd w:val="clear" w:color="auto" w:fill="FFFFFF"/>
          <w:lang w:val="en-US" w:eastAsia="zh-CN"/>
        </w:rPr>
        <w:t>专用</w:t>
      </w:r>
      <w:r>
        <w:rPr>
          <w:rFonts w:ascii="宋体" w:hAnsi="宋体" w:eastAsia="宋体" w:cs="宋体"/>
          <w:color w:val="auto"/>
          <w:sz w:val="24"/>
          <w:szCs w:val="24"/>
          <w:highlight w:val="none"/>
          <w:shd w:val="clear" w:color="auto" w:fill="FFFFFF"/>
        </w:rPr>
        <w:t>发票。</w:t>
      </w:r>
    </w:p>
    <w:p w14:paraId="53BA6C3D">
      <w:pPr>
        <w:pStyle w:val="48"/>
        <w:keepNext w:val="0"/>
        <w:keepLines w:val="0"/>
        <w:pageBreakBefore w:val="0"/>
        <w:kinsoku/>
        <w:wordWrap/>
        <w:overflowPunct/>
        <w:topLinePunct w:val="0"/>
        <w:autoSpaceDE/>
        <w:autoSpaceDN/>
        <w:bidi w:val="0"/>
        <w:adjustRightInd/>
        <w:snapToGrid/>
        <w:spacing w:line="400" w:lineRule="exact"/>
        <w:ind w:firstLine="482" w:firstLineChars="200"/>
        <w:jc w:val="left"/>
        <w:textAlignment w:val="auto"/>
        <w:outlineLvl w:val="0"/>
        <w:rPr>
          <w:color w:val="auto"/>
          <w:sz w:val="24"/>
          <w:szCs w:val="24"/>
          <w:highlight w:val="none"/>
        </w:rPr>
      </w:pPr>
      <w:bookmarkStart w:id="170" w:name="_Toc30394"/>
      <w:r>
        <w:rPr>
          <w:rFonts w:hint="eastAsia" w:ascii="宋体" w:hAnsi="宋体" w:eastAsia="宋体" w:cs="宋体"/>
          <w:b/>
          <w:color w:val="auto"/>
          <w:sz w:val="24"/>
          <w:szCs w:val="24"/>
          <w:highlight w:val="none"/>
          <w:shd w:val="clear" w:color="auto" w:fill="FFFFFF"/>
          <w:lang w:val="en-US" w:eastAsia="zh-CN"/>
        </w:rPr>
        <w:t>3、特别说明</w:t>
      </w:r>
      <w:r>
        <w:rPr>
          <w:rFonts w:ascii="宋体" w:hAnsi="宋体" w:eastAsia="宋体" w:cs="宋体"/>
          <w:b/>
          <w:color w:val="auto"/>
          <w:sz w:val="24"/>
          <w:szCs w:val="24"/>
          <w:highlight w:val="none"/>
          <w:shd w:val="clear" w:color="auto" w:fill="FFFFFF"/>
        </w:rPr>
        <w:t>：</w:t>
      </w:r>
      <w:bookmarkEnd w:id="170"/>
    </w:p>
    <w:p w14:paraId="756FF171">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3.1成交</w:t>
      </w:r>
      <w:r>
        <w:rPr>
          <w:rFonts w:ascii="宋体" w:hAnsi="宋体" w:eastAsia="宋体" w:cs="宋体"/>
          <w:color w:val="auto"/>
          <w:sz w:val="24"/>
          <w:szCs w:val="24"/>
          <w:highlight w:val="none"/>
        </w:rPr>
        <w:t>下浮率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73BEF2E8">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若合同期满或在合同期内采购总金额已经达到本项目预算金额，</w:t>
      </w:r>
      <w:r>
        <w:rPr>
          <w:rFonts w:hint="eastAsia" w:ascii="宋体" w:hAnsi="宋体" w:eastAsia="宋体" w:cs="宋体"/>
          <w:color w:val="auto"/>
          <w:sz w:val="24"/>
          <w:szCs w:val="24"/>
          <w:highlight w:val="none"/>
          <w:lang w:eastAsia="zh-CN"/>
        </w:rPr>
        <w:t>则合同服务承接期限自动终止（仅承接期限终止，单项施工项目仍按合同条款执行）</w:t>
      </w:r>
      <w:r>
        <w:rPr>
          <w:rFonts w:ascii="宋体" w:hAnsi="宋体" w:eastAsia="宋体" w:cs="宋体"/>
          <w:color w:val="auto"/>
          <w:sz w:val="24"/>
          <w:szCs w:val="24"/>
          <w:highlight w:val="none"/>
        </w:rPr>
        <w:t>。</w:t>
      </w:r>
    </w:p>
    <w:p w14:paraId="0A3B244E">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在合同履行过程中，</w:t>
      </w:r>
      <w:r>
        <w:rPr>
          <w:rFonts w:hint="eastAsia" w:ascii="宋体" w:hAnsi="宋体" w:eastAsia="宋体" w:cs="宋体"/>
          <w:color w:val="auto"/>
          <w:sz w:val="24"/>
          <w:szCs w:val="24"/>
          <w:highlight w:val="none"/>
          <w:lang w:val="en-US" w:eastAsia="zh-CN"/>
        </w:rPr>
        <w:t>乙方</w:t>
      </w:r>
      <w:r>
        <w:rPr>
          <w:rFonts w:ascii="宋体" w:hAnsi="宋体" w:eastAsia="宋体" w:cs="宋体"/>
          <w:color w:val="auto"/>
          <w:sz w:val="24"/>
          <w:szCs w:val="24"/>
          <w:highlight w:val="none"/>
        </w:rPr>
        <w:t>应当根据</w:t>
      </w:r>
      <w:r>
        <w:rPr>
          <w:rFonts w:hint="eastAsia" w:ascii="宋体" w:hAnsi="宋体" w:eastAsia="宋体" w:cs="宋体"/>
          <w:color w:val="auto"/>
          <w:sz w:val="24"/>
          <w:szCs w:val="24"/>
          <w:highlight w:val="none"/>
          <w:lang w:val="en-US" w:eastAsia="zh-CN"/>
        </w:rPr>
        <w:t>甲方</w:t>
      </w:r>
      <w:r>
        <w:rPr>
          <w:rFonts w:ascii="宋体" w:hAnsi="宋体" w:eastAsia="宋体" w:cs="宋体"/>
          <w:color w:val="auto"/>
          <w:sz w:val="24"/>
          <w:szCs w:val="24"/>
          <w:highlight w:val="none"/>
        </w:rPr>
        <w:t>下达的每一单项工程任务，严格遵照</w:t>
      </w:r>
      <w:r>
        <w:rPr>
          <w:rFonts w:hint="eastAsia" w:ascii="宋体" w:hAnsi="宋体" w:eastAsia="宋体" w:cs="宋体"/>
          <w:color w:val="auto"/>
          <w:sz w:val="24"/>
          <w:szCs w:val="24"/>
          <w:highlight w:val="none"/>
          <w:lang w:val="en-US" w:eastAsia="zh-CN"/>
        </w:rPr>
        <w:t>甲方</w:t>
      </w:r>
      <w:r>
        <w:rPr>
          <w:rFonts w:ascii="宋体" w:hAnsi="宋体" w:eastAsia="宋体" w:cs="宋体"/>
          <w:color w:val="auto"/>
          <w:sz w:val="24"/>
          <w:szCs w:val="24"/>
          <w:highlight w:val="none"/>
        </w:rPr>
        <w:t>对工期、质量、工程材料等方面的要求，按时完成施工，并按照下列规则进行合同价结算：</w:t>
      </w:r>
    </w:p>
    <w:p w14:paraId="521C583B">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单个施工项目合同价及结算价</w:t>
      </w:r>
    </w:p>
    <w:p w14:paraId="5DCCF6D8">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color w:val="auto"/>
          <w:sz w:val="24"/>
          <w:szCs w:val="24"/>
          <w:highlight w:val="none"/>
        </w:rPr>
      </w:pPr>
      <w:r>
        <w:rPr>
          <w:rFonts w:ascii="宋体" w:hAnsi="宋体" w:eastAsia="宋体" w:cs="宋体"/>
          <w:color w:val="auto"/>
          <w:sz w:val="24"/>
          <w:szCs w:val="24"/>
          <w:highlight w:val="none"/>
        </w:rPr>
        <w:t>合同期内单个施工项目合同价=单个施工项目预算审核价×（1-下浮率）</w:t>
      </w:r>
    </w:p>
    <w:p w14:paraId="54AD0181">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3.4</w:t>
      </w:r>
      <w:r>
        <w:rPr>
          <w:rFonts w:ascii="宋体" w:hAnsi="宋体" w:eastAsia="宋体" w:cs="宋体"/>
          <w:color w:val="auto"/>
          <w:sz w:val="24"/>
          <w:szCs w:val="24"/>
          <w:highlight w:val="none"/>
          <w:shd w:val="clear" w:color="auto" w:fill="FFFFFF"/>
        </w:rPr>
        <w:t>本项目施工场所为特殊区域，</w:t>
      </w:r>
      <w:r>
        <w:rPr>
          <w:rFonts w:hint="eastAsia" w:ascii="宋体" w:hAnsi="宋体" w:eastAsia="宋体" w:cs="宋体"/>
          <w:color w:val="auto"/>
          <w:sz w:val="24"/>
          <w:szCs w:val="24"/>
          <w:highlight w:val="none"/>
          <w:shd w:val="clear" w:color="auto" w:fill="FFFFFF"/>
          <w:lang w:val="en-US" w:eastAsia="zh-CN"/>
        </w:rPr>
        <w:t>乙方</w:t>
      </w:r>
      <w:r>
        <w:rPr>
          <w:rFonts w:ascii="宋体" w:hAnsi="宋体" w:eastAsia="宋体" w:cs="宋体"/>
          <w:color w:val="auto"/>
          <w:sz w:val="24"/>
          <w:szCs w:val="24"/>
          <w:highlight w:val="none"/>
          <w:shd w:val="clear" w:color="auto" w:fill="FFFFFF"/>
        </w:rPr>
        <w:t>需遵守</w:t>
      </w:r>
      <w:r>
        <w:rPr>
          <w:rFonts w:hint="eastAsia" w:ascii="宋体" w:hAnsi="宋体" w:eastAsia="宋体" w:cs="宋体"/>
          <w:color w:val="auto"/>
          <w:sz w:val="24"/>
          <w:szCs w:val="24"/>
          <w:highlight w:val="none"/>
          <w:shd w:val="clear" w:color="auto" w:fill="FFFFFF"/>
          <w:lang w:val="en-US" w:eastAsia="zh-CN"/>
        </w:rPr>
        <w:t>甲方</w:t>
      </w:r>
      <w:r>
        <w:rPr>
          <w:rFonts w:ascii="宋体" w:hAnsi="宋体" w:eastAsia="宋体" w:cs="宋体"/>
          <w:color w:val="auto"/>
          <w:sz w:val="24"/>
          <w:szCs w:val="24"/>
          <w:highlight w:val="none"/>
          <w:shd w:val="clear" w:color="auto" w:fill="FFFFFF"/>
        </w:rPr>
        <w:t>的管理规定（如：封闭区施工不得携带香烟、打火机、钱包、手机、电子通信工具等违禁品），施工人员及设备进出须</w:t>
      </w:r>
      <w:r>
        <w:rPr>
          <w:rFonts w:hint="eastAsia" w:ascii="宋体" w:hAnsi="宋体" w:eastAsia="宋体" w:cs="宋体"/>
          <w:color w:val="auto"/>
          <w:sz w:val="24"/>
          <w:szCs w:val="24"/>
          <w:highlight w:val="none"/>
          <w:shd w:val="clear" w:color="auto" w:fill="FFFFFF"/>
          <w:lang w:val="en-US" w:eastAsia="zh-CN"/>
        </w:rPr>
        <w:t>采购人</w:t>
      </w:r>
      <w:r>
        <w:rPr>
          <w:rFonts w:ascii="宋体" w:hAnsi="宋体" w:eastAsia="宋体" w:cs="宋体"/>
          <w:color w:val="auto"/>
          <w:sz w:val="24"/>
          <w:szCs w:val="24"/>
          <w:highlight w:val="none"/>
          <w:shd w:val="clear" w:color="auto" w:fill="FFFFFF"/>
        </w:rPr>
        <w:t>审批并遵守安检规定，按照</w:t>
      </w:r>
      <w:r>
        <w:rPr>
          <w:rFonts w:hint="eastAsia" w:ascii="宋体" w:hAnsi="宋体" w:eastAsia="宋体" w:cs="宋体"/>
          <w:color w:val="auto"/>
          <w:sz w:val="24"/>
          <w:szCs w:val="24"/>
          <w:highlight w:val="none"/>
          <w:shd w:val="clear" w:color="auto" w:fill="FFFFFF"/>
          <w:lang w:val="en-US" w:eastAsia="zh-CN"/>
        </w:rPr>
        <w:t>采购人</w:t>
      </w:r>
      <w:r>
        <w:rPr>
          <w:rFonts w:ascii="宋体" w:hAnsi="宋体" w:eastAsia="宋体" w:cs="宋体"/>
          <w:color w:val="auto"/>
          <w:sz w:val="24"/>
          <w:szCs w:val="24"/>
          <w:highlight w:val="none"/>
          <w:shd w:val="clear" w:color="auto" w:fill="FFFFFF"/>
        </w:rPr>
        <w:t>时间安排进行施工，</w:t>
      </w:r>
      <w:r>
        <w:rPr>
          <w:rFonts w:hint="eastAsia" w:ascii="宋体" w:hAnsi="宋体" w:eastAsia="宋体" w:cs="宋体"/>
          <w:color w:val="auto"/>
          <w:sz w:val="24"/>
          <w:szCs w:val="24"/>
          <w:highlight w:val="none"/>
          <w:shd w:val="clear" w:color="auto" w:fill="FFFFFF"/>
        </w:rPr>
        <w:t>做好加班准备</w:t>
      </w:r>
      <w:r>
        <w:rPr>
          <w:rFonts w:hint="eastAsia" w:ascii="宋体" w:hAnsi="宋体" w:eastAsia="宋体" w:cs="宋体"/>
          <w:color w:val="auto"/>
          <w:sz w:val="24"/>
          <w:szCs w:val="24"/>
          <w:highlight w:val="none"/>
          <w:shd w:val="clear" w:color="auto" w:fill="FFFFFF"/>
          <w:lang w:eastAsia="zh-CN"/>
        </w:rPr>
        <w:t>。</w:t>
      </w:r>
    </w:p>
    <w:p w14:paraId="293A9D9E">
      <w:pPr>
        <w:pStyle w:val="48"/>
        <w:keepNext w:val="0"/>
        <w:keepLines w:val="0"/>
        <w:pageBreakBefore w:val="0"/>
        <w:kinsoku/>
        <w:wordWrap/>
        <w:overflowPunct/>
        <w:topLinePunct w:val="0"/>
        <w:autoSpaceDE/>
        <w:autoSpaceDN/>
        <w:bidi w:val="0"/>
        <w:adjustRightInd/>
        <w:snapToGrid/>
        <w:spacing w:line="400" w:lineRule="exact"/>
        <w:ind w:left="0" w:firstLine="480" w:firstLineChars="200"/>
        <w:textAlignment w:val="auto"/>
        <w:rPr>
          <w:color w:val="auto"/>
          <w:sz w:val="24"/>
          <w:szCs w:val="24"/>
        </w:rPr>
      </w:pPr>
      <w:r>
        <w:rPr>
          <w:rFonts w:hint="eastAsia" w:ascii="宋体" w:hAnsi="宋体" w:eastAsia="宋体" w:cs="宋体"/>
          <w:color w:val="auto"/>
          <w:sz w:val="24"/>
          <w:szCs w:val="24"/>
          <w:shd w:val="clear" w:color="auto" w:fill="FFFFFF"/>
          <w:lang w:val="en-US" w:eastAsia="zh-CN"/>
        </w:rPr>
        <w:t>3</w:t>
      </w:r>
      <w:r>
        <w:rPr>
          <w:rFonts w:ascii="宋体" w:hAnsi="宋体" w:eastAsia="宋体" w:cs="宋体"/>
          <w:color w:val="auto"/>
          <w:sz w:val="24"/>
          <w:szCs w:val="24"/>
          <w:shd w:val="clear" w:color="auto" w:fill="FFFFFF"/>
        </w:rPr>
        <w:t>.</w:t>
      </w:r>
      <w:r>
        <w:rPr>
          <w:rFonts w:hint="eastAsia" w:ascii="宋体" w:hAnsi="宋体" w:eastAsia="宋体" w:cs="宋体"/>
          <w:color w:val="auto"/>
          <w:sz w:val="24"/>
          <w:szCs w:val="24"/>
          <w:shd w:val="clear" w:color="auto" w:fill="FFFFFF"/>
          <w:lang w:val="en-US" w:eastAsia="zh-CN"/>
        </w:rPr>
        <w:t>5</w:t>
      </w:r>
      <w:r>
        <w:rPr>
          <w:rFonts w:ascii="宋体" w:hAnsi="宋体" w:eastAsia="宋体" w:cs="宋体"/>
          <w:color w:val="auto"/>
          <w:sz w:val="24"/>
          <w:szCs w:val="24"/>
          <w:shd w:val="clear" w:color="auto" w:fill="FFFFFF"/>
        </w:rPr>
        <w:t>本项目为年度小规模工程施工项目，</w:t>
      </w:r>
      <w:r>
        <w:rPr>
          <w:rFonts w:hint="eastAsia" w:ascii="宋体" w:hAnsi="宋体" w:eastAsia="宋体" w:cs="宋体"/>
          <w:color w:val="auto"/>
          <w:sz w:val="24"/>
          <w:szCs w:val="24"/>
          <w:shd w:val="clear" w:color="auto" w:fill="FFFFFF"/>
          <w:lang w:val="en-US" w:eastAsia="zh-CN"/>
        </w:rPr>
        <w:t>乙方</w:t>
      </w:r>
      <w:r>
        <w:rPr>
          <w:rFonts w:ascii="宋体" w:hAnsi="宋体" w:eastAsia="宋体" w:cs="宋体"/>
          <w:color w:val="auto"/>
          <w:sz w:val="24"/>
          <w:szCs w:val="24"/>
          <w:shd w:val="clear" w:color="auto" w:fill="FFFFFF"/>
        </w:rPr>
        <w:t>须具备多个项目同时施工的能力。</w:t>
      </w:r>
    </w:p>
    <w:p w14:paraId="25CD4FE3">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rFonts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3.6</w:t>
      </w:r>
      <w:r>
        <w:rPr>
          <w:rFonts w:ascii="宋体" w:hAnsi="宋体" w:eastAsia="宋体" w:cs="宋体"/>
          <w:color w:val="auto"/>
          <w:sz w:val="24"/>
          <w:szCs w:val="24"/>
          <w:shd w:val="clear" w:color="auto" w:fill="FFFFFF"/>
        </w:rPr>
        <w:t>单个项目合同方式：采取固定总价合同。</w:t>
      </w:r>
    </w:p>
    <w:p w14:paraId="6B6C595C">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3.7不可竞争费用应严格执行有关费用标准。施工过程中若有变更，经甲方同意后，以实际施工工程量签证为准，按实结算。</w:t>
      </w:r>
    </w:p>
    <w:p w14:paraId="6263C715">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乙方不为甲方2026至2027年度“工程项目设计单位、工程项目预算编制单位、工程项目预算审核单位、工程项目结算审核单位、工程项目监理单位”其中一个项目的成交供应商，且与上述五个项目的成交供应商无相关联关系。</w:t>
      </w:r>
    </w:p>
    <w:p w14:paraId="2221FAB4">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left"/>
        <w:textAlignment w:val="auto"/>
        <w:rPr>
          <w:rFonts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val="en-US" w:eastAsia="zh-CN"/>
        </w:rPr>
        <w:t>3.9</w:t>
      </w:r>
      <w:r>
        <w:rPr>
          <w:rFonts w:ascii="宋体" w:hAnsi="宋体" w:eastAsia="宋体" w:cs="宋体"/>
          <w:color w:val="auto"/>
          <w:sz w:val="24"/>
          <w:szCs w:val="24"/>
          <w:highlight w:val="none"/>
          <w:shd w:val="clear" w:color="auto" w:fill="FFFFFF"/>
        </w:rPr>
        <w:t>合同履行期间若遇本项目相关标准遇国家重新修订，自新标准实行之日起采用新标准执行。</w:t>
      </w:r>
    </w:p>
    <w:p w14:paraId="15B8EDE8">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eastAsia="zh-CN"/>
        </w:rPr>
        <w:t>本合同未</w:t>
      </w:r>
      <w:r>
        <w:rPr>
          <w:rFonts w:hint="eastAsia" w:ascii="宋体" w:hAnsi="宋体" w:eastAsia="宋体" w:cs="宋体"/>
          <w:sz w:val="24"/>
          <w:szCs w:val="24"/>
          <w:highlight w:val="none"/>
          <w:lang w:eastAsia="zh-CN"/>
        </w:rPr>
        <w:t>尽之处，按照甲方的采购文件和乙方的响应文件要求执行，并作为本合同的组成部分</w:t>
      </w:r>
      <w:r>
        <w:rPr>
          <w:rFonts w:hint="eastAsia" w:ascii="宋体" w:hAnsi="宋体" w:eastAsia="宋体" w:cs="宋体"/>
          <w:sz w:val="24"/>
          <w:szCs w:val="24"/>
          <w:highlight w:val="none"/>
        </w:rPr>
        <w:t>。</w:t>
      </w:r>
    </w:p>
    <w:p w14:paraId="631B48AE">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highlight w:val="none"/>
        </w:rPr>
      </w:pPr>
      <w:r>
        <w:rPr>
          <w:rFonts w:hint="eastAsia" w:ascii="宋体" w:hAnsi="宋体" w:eastAsia="宋体" w:cs="宋体"/>
          <w:b/>
          <w:sz w:val="24"/>
          <w:szCs w:val="24"/>
          <w:highlight w:val="none"/>
        </w:rPr>
        <w:t>三、合同总金额</w:t>
      </w:r>
    </w:p>
    <w:p w14:paraId="5D90A6F2">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合同总金额：</w:t>
      </w:r>
      <w:r>
        <w:rPr>
          <w:rFonts w:hint="eastAsia" w:ascii="宋体" w:hAnsi="宋体" w:eastAsia="宋体" w:cs="宋体"/>
          <w:sz w:val="24"/>
          <w:szCs w:val="24"/>
          <w:highlight w:val="none"/>
          <w:u w:val="single"/>
        </w:rPr>
        <w:t>人民币</w:t>
      </w:r>
      <w:r>
        <w:rPr>
          <w:rFonts w:hint="eastAsia" w:ascii="宋体" w:hAnsi="宋体" w:eastAsia="宋体" w:cs="宋体"/>
          <w:sz w:val="24"/>
          <w:szCs w:val="24"/>
          <w:highlight w:val="none"/>
          <w:u w:val="single"/>
          <w:lang w:val="en-US" w:eastAsia="zh-CN"/>
        </w:rPr>
        <w:t>贰</w:t>
      </w:r>
      <w:r>
        <w:rPr>
          <w:rFonts w:hint="eastAsia" w:ascii="宋体" w:hAnsi="宋体" w:eastAsia="宋体" w:cs="宋体"/>
          <w:sz w:val="24"/>
          <w:szCs w:val="24"/>
          <w:highlight w:val="none"/>
          <w:u w:val="single"/>
        </w:rPr>
        <w:t>佰万元整</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2000</w:t>
      </w:r>
      <w:r>
        <w:rPr>
          <w:rFonts w:hint="eastAsia" w:ascii="宋体" w:hAnsi="宋体" w:eastAsia="宋体" w:cs="宋体"/>
          <w:sz w:val="24"/>
          <w:szCs w:val="24"/>
          <w:highlight w:val="none"/>
          <w:u w:val="single"/>
        </w:rPr>
        <w:t>000</w:t>
      </w:r>
      <w:r>
        <w:rPr>
          <w:rFonts w:hint="eastAsia" w:ascii="宋体" w:hAnsi="宋体" w:eastAsia="宋体" w:cs="宋体"/>
          <w:sz w:val="24"/>
          <w:szCs w:val="24"/>
          <w:highlight w:val="none"/>
        </w:rPr>
        <w:t>）</w:t>
      </w:r>
    </w:p>
    <w:p w14:paraId="3419BF98">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四、合同标的交付时间、地点和条件</w:t>
      </w:r>
    </w:p>
    <w:p w14:paraId="3074B4A6">
      <w:pPr>
        <w:pStyle w:val="48"/>
        <w:keepNext w:val="0"/>
        <w:keepLines w:val="0"/>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4.1</w:t>
      </w:r>
      <w:r>
        <w:rPr>
          <w:rFonts w:hint="eastAsia" w:ascii="宋体" w:hAnsi="宋体" w:eastAsia="宋体" w:cs="宋体"/>
          <w:sz w:val="24"/>
          <w:szCs w:val="24"/>
          <w:lang w:val="en-US" w:eastAsia="zh-CN"/>
        </w:rPr>
        <w:t>单项工程</w:t>
      </w:r>
      <w:r>
        <w:rPr>
          <w:rFonts w:hint="eastAsia" w:ascii="宋体" w:hAnsi="宋体" w:eastAsia="宋体" w:cs="宋体"/>
          <w:sz w:val="24"/>
          <w:szCs w:val="24"/>
        </w:rPr>
        <w:t>交付时间：</w:t>
      </w:r>
      <w:r>
        <w:rPr>
          <w:rFonts w:hint="eastAsia" w:ascii="宋体" w:hAnsi="宋体" w:eastAsia="宋体" w:cs="宋体"/>
          <w:color w:val="auto"/>
          <w:kern w:val="0"/>
          <w:sz w:val="24"/>
          <w:szCs w:val="24"/>
          <w:highlight w:val="none"/>
          <w:u w:val="single"/>
        </w:rPr>
        <w:t>单项工程</w:t>
      </w:r>
      <w:r>
        <w:rPr>
          <w:rFonts w:hint="eastAsia" w:ascii="宋体" w:hAnsi="宋体" w:eastAsia="宋体" w:cs="宋体"/>
          <w:color w:val="auto"/>
          <w:kern w:val="0"/>
          <w:sz w:val="24"/>
          <w:szCs w:val="24"/>
          <w:highlight w:val="none"/>
          <w:u w:val="single"/>
          <w:lang w:val="en-US" w:eastAsia="zh-CN"/>
        </w:rPr>
        <w:t>截止日期计算以单项签订施工协议书日期为准，工期以实际为准</w:t>
      </w:r>
      <w:r>
        <w:rPr>
          <w:rFonts w:hint="eastAsia" w:ascii="宋体" w:hAnsi="宋体" w:eastAsia="宋体" w:cs="宋体"/>
          <w:b w:val="0"/>
          <w:bCs w:val="0"/>
          <w:sz w:val="24"/>
          <w:szCs w:val="24"/>
          <w:highlight w:val="none"/>
          <w:u w:val="single"/>
          <w:shd w:val="clear" w:color="auto" w:fill="FFFFFF"/>
          <w:lang w:eastAsia="zh-CN"/>
        </w:rPr>
        <w:t>。</w:t>
      </w:r>
    </w:p>
    <w:p w14:paraId="3CF329D4">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4.2</w:t>
      </w:r>
      <w:r>
        <w:rPr>
          <w:rFonts w:hint="eastAsia" w:ascii="宋体" w:hAnsi="宋体" w:eastAsia="宋体" w:cs="宋体"/>
          <w:sz w:val="24"/>
          <w:szCs w:val="24"/>
          <w:lang w:val="en-US" w:eastAsia="zh-CN"/>
        </w:rPr>
        <w:t>单项工程</w:t>
      </w:r>
      <w:r>
        <w:rPr>
          <w:rFonts w:hint="eastAsia" w:ascii="宋体" w:hAnsi="宋体" w:eastAsia="宋体" w:cs="宋体"/>
          <w:sz w:val="24"/>
          <w:szCs w:val="24"/>
        </w:rPr>
        <w:t>交付地点：</w:t>
      </w:r>
      <w:r>
        <w:rPr>
          <w:rFonts w:hint="eastAsia" w:ascii="宋体" w:hAnsi="宋体" w:eastAsia="宋体" w:cs="宋体"/>
          <w:color w:val="auto"/>
          <w:kern w:val="0"/>
          <w:sz w:val="24"/>
          <w:szCs w:val="24"/>
          <w:u w:val="single"/>
        </w:rPr>
        <w:t>福建省福州市闽侯县南屿镇窗厦村悬钟山1号，具体以</w:t>
      </w:r>
      <w:r>
        <w:rPr>
          <w:rFonts w:hint="eastAsia" w:ascii="宋体" w:hAnsi="宋体" w:eastAsia="宋体" w:cs="宋体"/>
          <w:color w:val="auto"/>
          <w:kern w:val="0"/>
          <w:sz w:val="24"/>
          <w:szCs w:val="24"/>
          <w:u w:val="single"/>
          <w:lang w:val="en-US" w:eastAsia="zh-CN"/>
        </w:rPr>
        <w:t>甲方</w:t>
      </w:r>
      <w:r>
        <w:rPr>
          <w:rFonts w:hint="eastAsia" w:ascii="宋体" w:hAnsi="宋体" w:eastAsia="宋体" w:cs="宋体"/>
          <w:color w:val="auto"/>
          <w:kern w:val="0"/>
          <w:sz w:val="24"/>
          <w:szCs w:val="24"/>
          <w:u w:val="single"/>
        </w:rPr>
        <w:t>要求为准</w:t>
      </w:r>
      <w:r>
        <w:rPr>
          <w:rFonts w:hint="eastAsia" w:ascii="宋体" w:hAnsi="宋体" w:eastAsia="宋体" w:cs="宋体"/>
          <w:color w:val="auto"/>
          <w:kern w:val="0"/>
          <w:sz w:val="24"/>
          <w:szCs w:val="24"/>
          <w:u w:val="single"/>
          <w:lang w:eastAsia="zh-CN"/>
        </w:rPr>
        <w:t>。</w:t>
      </w:r>
    </w:p>
    <w:p w14:paraId="19AF23E0">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b/>
          <w:sz w:val="24"/>
          <w:szCs w:val="24"/>
        </w:rPr>
      </w:pPr>
      <w:r>
        <w:rPr>
          <w:rFonts w:hint="eastAsia" w:ascii="宋体" w:hAnsi="宋体" w:eastAsia="宋体" w:cs="宋体"/>
          <w:sz w:val="24"/>
          <w:szCs w:val="24"/>
        </w:rPr>
        <w:t xml:space="preserve"> 4.3</w:t>
      </w:r>
      <w:r>
        <w:rPr>
          <w:rFonts w:hint="eastAsia" w:ascii="宋体" w:hAnsi="宋体" w:eastAsia="宋体" w:cs="宋体"/>
          <w:sz w:val="24"/>
          <w:szCs w:val="24"/>
          <w:lang w:val="en-US" w:eastAsia="zh-CN"/>
        </w:rPr>
        <w:t>单项工程</w:t>
      </w:r>
      <w:r>
        <w:rPr>
          <w:rFonts w:hint="eastAsia" w:ascii="宋体" w:hAnsi="宋体" w:eastAsia="宋体" w:cs="宋体"/>
          <w:sz w:val="24"/>
          <w:szCs w:val="24"/>
        </w:rPr>
        <w:t>交付条件：</w:t>
      </w:r>
      <w:r>
        <w:rPr>
          <w:rFonts w:hint="eastAsia" w:ascii="宋体" w:hAnsi="宋体" w:eastAsia="宋体" w:cs="宋体"/>
          <w:color w:val="auto"/>
          <w:kern w:val="0"/>
          <w:sz w:val="24"/>
          <w:szCs w:val="24"/>
          <w:highlight w:val="none"/>
          <w:u w:val="single"/>
        </w:rPr>
        <w:t>符合《工程施工质量验收规范》及其它相关规范合格标准</w:t>
      </w:r>
      <w:r>
        <w:rPr>
          <w:rFonts w:hint="eastAsia" w:ascii="宋体" w:hAnsi="宋体" w:eastAsia="宋体" w:cs="宋体"/>
          <w:color w:val="auto"/>
          <w:kern w:val="0"/>
          <w:sz w:val="24"/>
          <w:szCs w:val="24"/>
          <w:highlight w:val="none"/>
          <w:u w:val="single"/>
          <w:lang w:eastAsia="zh-CN"/>
        </w:rPr>
        <w:t>。</w:t>
      </w:r>
    </w:p>
    <w:p w14:paraId="059AB3DD">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五、合同标的应符合采购文件、乙方响应文件的规定或根据各行业规范、标准等要求约定，具体如下：</w:t>
      </w:r>
    </w:p>
    <w:p w14:paraId="011B5A36">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5.1工程建设标准强制性条文：依据竞争性磋商文件要求，本项目实施的工程材料、设备、施工必须达到现行的国家、</w:t>
      </w:r>
      <w:r>
        <w:rPr>
          <w:rFonts w:hint="eastAsia" w:ascii="宋体" w:hAnsi="宋体" w:eastAsia="宋体" w:cs="宋体"/>
          <w:color w:val="auto"/>
          <w:sz w:val="24"/>
          <w:szCs w:val="24"/>
        </w:rPr>
        <w:t>行业和地方的工程建设标准强制性条文。</w:t>
      </w:r>
    </w:p>
    <w:p w14:paraId="339E89AB">
      <w:pPr>
        <w:pStyle w:val="48"/>
        <w:keepNext w:val="0"/>
        <w:keepLines w:val="0"/>
        <w:pageBreakBefore w:val="0"/>
        <w:kinsoku/>
        <w:wordWrap/>
        <w:overflowPunct/>
        <w:topLinePunct w:val="0"/>
        <w:autoSpaceDE/>
        <w:autoSpaceDN/>
        <w:bidi w:val="0"/>
        <w:adjustRightInd/>
        <w:snapToGrid/>
        <w:spacing w:line="400" w:lineRule="exact"/>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5.2</w:t>
      </w:r>
      <w:r>
        <w:rPr>
          <w:rFonts w:hint="eastAsia" w:ascii="宋体" w:hAnsi="宋体" w:eastAsia="宋体" w:cs="宋体"/>
          <w:color w:val="auto"/>
          <w:sz w:val="24"/>
          <w:szCs w:val="24"/>
        </w:rPr>
        <w:t>工程必须根据建设部《工程施工质量验收规范》等相关规范和规程及施工图纸施工，工程质量标准必须达到国家现行的验评标准中规定的合格等级。</w:t>
      </w:r>
    </w:p>
    <w:p w14:paraId="1F283DA9">
      <w:pPr>
        <w:pStyle w:val="48"/>
        <w:keepNext w:val="0"/>
        <w:keepLines w:val="0"/>
        <w:pageBreakBefore w:val="0"/>
        <w:kinsoku/>
        <w:overflowPunct/>
        <w:topLinePunct w:val="0"/>
        <w:autoSpaceDE/>
        <w:autoSpaceDN/>
        <w:bidi w:val="0"/>
        <w:adjustRightInd/>
        <w:spacing w:line="400" w:lineRule="exact"/>
        <w:ind w:firstLine="480" w:firstLineChars="200"/>
        <w:jc w:val="both"/>
        <w:textAlignment w:val="auto"/>
        <w:outlineLvl w:val="9"/>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p>
    <w:p w14:paraId="10C4DA00">
      <w:pPr>
        <w:pStyle w:val="48"/>
        <w:keepNext w:val="0"/>
        <w:keepLines w:val="0"/>
        <w:pageBreakBefore w:val="0"/>
        <w:kinsoku/>
        <w:overflowPunct/>
        <w:topLinePunct w:val="0"/>
        <w:autoSpaceDE/>
        <w:autoSpaceDN/>
        <w:bidi w:val="0"/>
        <w:adjustRightInd/>
        <w:spacing w:line="400" w:lineRule="exact"/>
        <w:jc w:val="both"/>
        <w:textAlignment w:val="auto"/>
        <w:outlineLvl w:val="9"/>
        <w:rPr>
          <w:rFonts w:hint="eastAsia" w:ascii="宋体" w:hAnsi="宋体" w:eastAsia="宋体" w:cs="宋体"/>
          <w:sz w:val="24"/>
          <w:szCs w:val="24"/>
        </w:rPr>
      </w:pPr>
      <w:r>
        <w:rPr>
          <w:rFonts w:hint="eastAsia" w:ascii="宋体" w:hAnsi="宋体" w:eastAsia="宋体" w:cs="宋体"/>
          <w:b/>
          <w:sz w:val="24"/>
          <w:szCs w:val="24"/>
        </w:rPr>
        <w:t>六、验收</w:t>
      </w:r>
    </w:p>
    <w:p w14:paraId="2C721D5F">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6.1验收应按照</w:t>
      </w:r>
      <w:r>
        <w:rPr>
          <w:rFonts w:hint="eastAsia" w:ascii="宋体" w:hAnsi="宋体" w:eastAsia="宋体" w:cs="宋体"/>
          <w:sz w:val="24"/>
          <w:szCs w:val="24"/>
          <w:lang w:eastAsia="zh-CN"/>
        </w:rPr>
        <w:t>磋商文件</w:t>
      </w:r>
      <w:r>
        <w:rPr>
          <w:rFonts w:hint="eastAsia" w:ascii="宋体" w:hAnsi="宋体" w:eastAsia="宋体" w:cs="宋体"/>
          <w:sz w:val="24"/>
          <w:szCs w:val="24"/>
        </w:rPr>
        <w:t>、乙方投标文件的规定或约定进行，具体如下：</w:t>
      </w:r>
    </w:p>
    <w:p w14:paraId="193E31B8">
      <w:pPr>
        <w:pStyle w:val="48"/>
        <w:keepNext w:val="0"/>
        <w:keepLines w:val="0"/>
        <w:pageBreakBefore w:val="0"/>
        <w:numPr>
          <w:ilvl w:val="0"/>
          <w:numId w:val="4"/>
        </w:numPr>
        <w:kinsoku/>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交符合规范要求的施工图和施工预算书纸质资料和电子版资料。（2）符合《工程施工质量验收规范》的合格要求，成交供应商每次完成采购人派发的工程任务后，由采购人根据合同约定的及其他先行有效的相关工程建设技术标准进行验收。</w:t>
      </w:r>
    </w:p>
    <w:p w14:paraId="3A69B122">
      <w:pPr>
        <w:pStyle w:val="48"/>
        <w:keepNext w:val="0"/>
        <w:keepLines w:val="0"/>
        <w:pageBreakBefore w:val="0"/>
        <w:numPr>
          <w:ilvl w:val="0"/>
          <w:numId w:val="0"/>
        </w:numPr>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6.2本项目是否邀请其他</w:t>
      </w:r>
      <w:r>
        <w:rPr>
          <w:rFonts w:hint="eastAsia" w:ascii="宋体" w:hAnsi="宋体" w:eastAsia="宋体" w:cs="宋体"/>
          <w:sz w:val="24"/>
          <w:szCs w:val="24"/>
          <w:lang w:val="en-US" w:eastAsia="zh-CN"/>
        </w:rPr>
        <w:t>未成交供应商</w:t>
      </w:r>
      <w:r>
        <w:rPr>
          <w:rFonts w:hint="eastAsia" w:ascii="宋体" w:hAnsi="宋体" w:eastAsia="宋体" w:cs="宋体"/>
          <w:sz w:val="24"/>
          <w:szCs w:val="24"/>
        </w:rPr>
        <w:t>参与验收：不邀请</w:t>
      </w:r>
      <w:r>
        <w:rPr>
          <w:rFonts w:hint="eastAsia" w:ascii="宋体" w:hAnsi="宋体" w:eastAsia="宋体" w:cs="宋体"/>
          <w:sz w:val="24"/>
          <w:szCs w:val="24"/>
          <w:lang w:eastAsia="zh-CN"/>
        </w:rPr>
        <w:t>。</w:t>
      </w:r>
    </w:p>
    <w:p w14:paraId="547027DC">
      <w:pPr>
        <w:pStyle w:val="48"/>
        <w:keepNext w:val="0"/>
        <w:keepLines w:val="0"/>
        <w:pageBreakBefore w:val="0"/>
        <w:numPr>
          <w:ilvl w:val="0"/>
          <w:numId w:val="0"/>
        </w:numPr>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6.3售后服务内容</w:t>
      </w:r>
    </w:p>
    <w:p w14:paraId="5A1F9FE9">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eastAsia="zh-CN"/>
        </w:rPr>
        <w:t>（根据乙方响应文件</w:t>
      </w:r>
      <w:r>
        <w:rPr>
          <w:rFonts w:hint="eastAsia" w:ascii="宋体" w:hAnsi="宋体" w:eastAsia="宋体" w:cs="宋体"/>
          <w:sz w:val="24"/>
          <w:szCs w:val="24"/>
          <w:lang w:val="en-US" w:eastAsia="zh-CN"/>
        </w:rPr>
        <w:t>内容填写</w:t>
      </w:r>
      <w:r>
        <w:rPr>
          <w:rFonts w:hint="eastAsia" w:ascii="宋体" w:hAnsi="宋体" w:eastAsia="宋体" w:cs="宋体"/>
          <w:sz w:val="24"/>
          <w:szCs w:val="24"/>
          <w:lang w:eastAsia="zh-CN"/>
        </w:rPr>
        <w:t>）</w:t>
      </w:r>
    </w:p>
    <w:p w14:paraId="1EB5D2B7">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p>
    <w:p w14:paraId="707AA347">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color w:val="auto"/>
          <w:sz w:val="24"/>
          <w:szCs w:val="24"/>
          <w:highlight w:val="none"/>
        </w:rPr>
      </w:pPr>
      <w:r>
        <w:rPr>
          <w:rFonts w:hint="eastAsia" w:ascii="宋体" w:hAnsi="宋体" w:eastAsia="宋体" w:cs="宋体"/>
          <w:b/>
          <w:sz w:val="24"/>
          <w:szCs w:val="24"/>
        </w:rPr>
        <w:t>七、合同款项的支付应按照</w:t>
      </w:r>
      <w:r>
        <w:rPr>
          <w:rFonts w:hint="eastAsia" w:ascii="宋体" w:hAnsi="宋体" w:eastAsia="宋体" w:cs="宋体"/>
          <w:b/>
          <w:sz w:val="24"/>
          <w:szCs w:val="24"/>
          <w:lang w:eastAsia="zh-CN"/>
        </w:rPr>
        <w:t>磋商文件</w:t>
      </w:r>
      <w:r>
        <w:rPr>
          <w:rFonts w:hint="eastAsia" w:ascii="宋体" w:hAnsi="宋体" w:eastAsia="宋体" w:cs="宋体"/>
          <w:b/>
          <w:sz w:val="24"/>
          <w:szCs w:val="24"/>
        </w:rPr>
        <w:t>的规定进行，</w:t>
      </w:r>
      <w:r>
        <w:rPr>
          <w:rFonts w:hint="eastAsia" w:ascii="宋体" w:hAnsi="宋体" w:eastAsia="宋体" w:cs="宋体"/>
          <w:b/>
          <w:color w:val="auto"/>
          <w:sz w:val="24"/>
          <w:szCs w:val="24"/>
          <w:highlight w:val="none"/>
        </w:rPr>
        <w:t>具体如下：</w:t>
      </w:r>
    </w:p>
    <w:p w14:paraId="0384A39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left="0" w:right="0" w:firstLine="420"/>
        <w:textAlignment w:val="auto"/>
        <w:rPr>
          <w:rFonts w:hint="eastAsia" w:eastAsia="宋体" w:cs="宋体"/>
          <w:b w:val="0"/>
          <w:bCs w:val="0"/>
          <w:i w:val="0"/>
          <w:iCs w:val="0"/>
          <w:caps w:val="0"/>
          <w:color w:val="auto"/>
          <w:spacing w:val="0"/>
          <w:sz w:val="24"/>
          <w:szCs w:val="24"/>
          <w:highlight w:val="none"/>
          <w:shd w:val="clear" w:color="auto" w:fill="FFFFFF"/>
          <w:lang w:val="en-US" w:eastAsia="zh-CN"/>
        </w:rPr>
      </w:pPr>
      <w:r>
        <w:rPr>
          <w:rFonts w:hint="eastAsia" w:eastAsia="宋体" w:cs="宋体"/>
          <w:b w:val="0"/>
          <w:bCs w:val="0"/>
          <w:i w:val="0"/>
          <w:iCs w:val="0"/>
          <w:caps w:val="0"/>
          <w:color w:val="auto"/>
          <w:spacing w:val="0"/>
          <w:sz w:val="24"/>
          <w:szCs w:val="24"/>
          <w:highlight w:val="none"/>
          <w:shd w:val="clear" w:color="auto" w:fill="FFFFFF"/>
          <w:lang w:val="en-US" w:eastAsia="zh-CN"/>
        </w:rPr>
        <w:t>6.1按月支付工程进度款。即当月确定的合格工程量所含款项的80%支付进度款。甲方在收到乙方书面申请、相关完整报销材料及相应的</w:t>
      </w:r>
      <w:r>
        <w:rPr>
          <w:rFonts w:hint="eastAsia" w:ascii="宋体" w:hAnsi="宋体" w:eastAsia="宋体" w:cs="宋体"/>
          <w:color w:val="auto"/>
          <w:kern w:val="0"/>
          <w:sz w:val="24"/>
          <w:szCs w:val="24"/>
          <w:highlight w:val="none"/>
          <w:shd w:val="clear" w:color="auto" w:fill="FFFFFF"/>
          <w:lang w:val="en-US" w:eastAsia="zh-CN" w:bidi="ar-SA"/>
        </w:rPr>
        <w:t>增值税专用发票后30日内</w:t>
      </w:r>
      <w:r>
        <w:rPr>
          <w:rFonts w:hint="eastAsia" w:eastAsia="宋体" w:cs="宋体"/>
          <w:b w:val="0"/>
          <w:bCs w:val="0"/>
          <w:i w:val="0"/>
          <w:iCs w:val="0"/>
          <w:caps w:val="0"/>
          <w:color w:val="auto"/>
          <w:spacing w:val="0"/>
          <w:sz w:val="24"/>
          <w:szCs w:val="24"/>
          <w:highlight w:val="none"/>
          <w:shd w:val="clear" w:color="auto" w:fill="FFFFFF"/>
          <w:lang w:val="en-US" w:eastAsia="zh-CN"/>
        </w:rPr>
        <w:t xml:space="preserve">，支付月工程进度款的80.00%。 </w:t>
      </w:r>
    </w:p>
    <w:p w14:paraId="6BF9542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left="0" w:right="0" w:firstLine="420"/>
        <w:textAlignment w:val="auto"/>
        <w:rPr>
          <w:rFonts w:hint="eastAsia" w:eastAsia="宋体" w:cs="宋体"/>
          <w:b w:val="0"/>
          <w:bCs w:val="0"/>
          <w:i w:val="0"/>
          <w:iCs w:val="0"/>
          <w:caps w:val="0"/>
          <w:color w:val="auto"/>
          <w:spacing w:val="0"/>
          <w:sz w:val="24"/>
          <w:szCs w:val="24"/>
          <w:highlight w:val="none"/>
          <w:shd w:val="clear" w:color="auto" w:fill="FFFFFF"/>
          <w:lang w:val="en-US" w:eastAsia="zh-CN"/>
        </w:rPr>
      </w:pPr>
      <w:r>
        <w:rPr>
          <w:rFonts w:hint="eastAsia" w:eastAsia="宋体" w:cs="宋体"/>
          <w:b w:val="0"/>
          <w:bCs w:val="0"/>
          <w:i w:val="0"/>
          <w:iCs w:val="0"/>
          <w:caps w:val="0"/>
          <w:color w:val="auto"/>
          <w:spacing w:val="0"/>
          <w:sz w:val="24"/>
          <w:szCs w:val="24"/>
          <w:highlight w:val="none"/>
          <w:shd w:val="clear" w:color="auto" w:fill="FFFFFF"/>
          <w:lang w:val="en-US" w:eastAsia="zh-CN"/>
        </w:rPr>
        <w:t>6.2工程竣工并经有关部门进行验收，符合《工程施工质量验收规范》合格标准后，甲方在收到乙方书面申请、相关完整报销材料及相应的</w:t>
      </w:r>
      <w:r>
        <w:rPr>
          <w:rFonts w:hint="eastAsia" w:ascii="宋体" w:hAnsi="宋体" w:eastAsia="宋体" w:cs="宋体"/>
          <w:color w:val="auto"/>
          <w:kern w:val="0"/>
          <w:sz w:val="24"/>
          <w:szCs w:val="24"/>
          <w:highlight w:val="none"/>
          <w:shd w:val="clear" w:color="auto" w:fill="FFFFFF"/>
          <w:lang w:val="en-US" w:eastAsia="zh-CN" w:bidi="ar-SA"/>
        </w:rPr>
        <w:t>增值税专用发票后30日内</w:t>
      </w:r>
      <w:r>
        <w:rPr>
          <w:rFonts w:hint="eastAsia" w:eastAsia="宋体" w:cs="宋体"/>
          <w:b w:val="0"/>
          <w:bCs w:val="0"/>
          <w:i w:val="0"/>
          <w:iCs w:val="0"/>
          <w:caps w:val="0"/>
          <w:color w:val="auto"/>
          <w:spacing w:val="0"/>
          <w:sz w:val="24"/>
          <w:szCs w:val="24"/>
          <w:highlight w:val="none"/>
          <w:shd w:val="clear" w:color="auto" w:fill="FFFFFF"/>
          <w:lang w:val="en-US" w:eastAsia="zh-CN"/>
        </w:rPr>
        <w:t xml:space="preserve">，支付至单项合同总金额的85%。 </w:t>
      </w:r>
    </w:p>
    <w:p w14:paraId="081EB12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left="0" w:right="0" w:firstLine="420"/>
        <w:textAlignment w:val="auto"/>
        <w:rPr>
          <w:rFonts w:hint="eastAsia" w:eastAsia="宋体" w:cs="宋体"/>
          <w:b w:val="0"/>
          <w:bCs w:val="0"/>
          <w:i w:val="0"/>
          <w:iCs w:val="0"/>
          <w:caps w:val="0"/>
          <w:color w:val="auto"/>
          <w:spacing w:val="0"/>
          <w:sz w:val="24"/>
          <w:szCs w:val="24"/>
          <w:highlight w:val="none"/>
          <w:shd w:val="clear" w:color="auto" w:fill="FFFFFF"/>
          <w:lang w:val="en-US" w:eastAsia="zh-CN"/>
        </w:rPr>
      </w:pPr>
      <w:r>
        <w:rPr>
          <w:rFonts w:hint="eastAsia" w:eastAsia="宋体" w:cs="宋体"/>
          <w:b w:val="0"/>
          <w:bCs w:val="0"/>
          <w:i w:val="0"/>
          <w:iCs w:val="0"/>
          <w:caps w:val="0"/>
          <w:color w:val="auto"/>
          <w:spacing w:val="0"/>
          <w:sz w:val="24"/>
          <w:szCs w:val="24"/>
          <w:highlight w:val="none"/>
          <w:shd w:val="clear" w:color="auto" w:fill="FFFFFF"/>
          <w:lang w:val="en-US" w:eastAsia="zh-CN"/>
        </w:rPr>
        <w:t>6.3工程完成结算，经第三方机构结算审核后30日内，甲方支付至结算审核价的97%。以上款项乙方须提供书面申请、相关完整报销材料及全部剩余金额的</w:t>
      </w:r>
      <w:r>
        <w:rPr>
          <w:rFonts w:hint="eastAsia" w:ascii="宋体" w:hAnsi="宋体" w:eastAsia="宋体" w:cs="宋体"/>
          <w:color w:val="auto"/>
          <w:kern w:val="0"/>
          <w:sz w:val="24"/>
          <w:szCs w:val="24"/>
          <w:highlight w:val="none"/>
          <w:shd w:val="clear" w:color="auto" w:fill="FFFFFF"/>
          <w:lang w:val="en-US" w:eastAsia="zh-CN" w:bidi="ar-SA"/>
        </w:rPr>
        <w:t>增值税专用发票</w:t>
      </w:r>
      <w:r>
        <w:rPr>
          <w:rFonts w:hint="eastAsia" w:eastAsia="宋体" w:cs="宋体"/>
          <w:b w:val="0"/>
          <w:bCs w:val="0"/>
          <w:i w:val="0"/>
          <w:iCs w:val="0"/>
          <w:caps w:val="0"/>
          <w:color w:val="auto"/>
          <w:spacing w:val="0"/>
          <w:sz w:val="24"/>
          <w:szCs w:val="24"/>
          <w:highlight w:val="none"/>
          <w:shd w:val="clear" w:color="auto" w:fill="FFFFFF"/>
          <w:lang w:val="en-US" w:eastAsia="zh-CN"/>
        </w:rPr>
        <w:t>，收到发票后</w:t>
      </w:r>
      <w:r>
        <w:rPr>
          <w:rFonts w:hint="eastAsia" w:ascii="宋体" w:hAnsi="宋体" w:eastAsia="宋体" w:cs="宋体"/>
          <w:color w:val="auto"/>
          <w:kern w:val="0"/>
          <w:sz w:val="24"/>
          <w:szCs w:val="24"/>
          <w:highlight w:val="none"/>
          <w:shd w:val="clear" w:color="auto" w:fill="FFFFFF"/>
          <w:lang w:val="en-US" w:eastAsia="zh-CN" w:bidi="ar-SA"/>
        </w:rPr>
        <w:t>30日内，</w:t>
      </w:r>
      <w:r>
        <w:rPr>
          <w:rFonts w:hint="eastAsia" w:eastAsia="宋体" w:cs="宋体"/>
          <w:b w:val="0"/>
          <w:bCs w:val="0"/>
          <w:i w:val="0"/>
          <w:iCs w:val="0"/>
          <w:caps w:val="0"/>
          <w:color w:val="auto"/>
          <w:spacing w:val="0"/>
          <w:sz w:val="24"/>
          <w:szCs w:val="24"/>
          <w:highlight w:val="none"/>
          <w:shd w:val="clear" w:color="auto" w:fill="FFFFFF"/>
          <w:lang w:val="en-US" w:eastAsia="zh-CN"/>
        </w:rPr>
        <w:t xml:space="preserve">支付相应的金额。注：经第三方机构审核后的审定价款低于单项合同总价的按审定价款进行结算，经第三方机构审核后的审定价款高于单项合同总价的按单项合同总价进行结算。 </w:t>
      </w:r>
    </w:p>
    <w:p w14:paraId="5DFF266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left="0" w:right="0" w:firstLine="420"/>
        <w:textAlignment w:val="auto"/>
        <w:rPr>
          <w:rFonts w:hint="eastAsia" w:eastAsia="宋体" w:cs="宋体"/>
          <w:b w:val="0"/>
          <w:bCs w:val="0"/>
          <w:i w:val="0"/>
          <w:iCs w:val="0"/>
          <w:caps w:val="0"/>
          <w:color w:val="auto"/>
          <w:spacing w:val="0"/>
          <w:sz w:val="24"/>
          <w:szCs w:val="24"/>
          <w:shd w:val="clear" w:color="auto" w:fill="FFFFFF"/>
          <w:lang w:val="en-US" w:eastAsia="zh-CN"/>
        </w:rPr>
      </w:pPr>
      <w:r>
        <w:rPr>
          <w:rFonts w:hint="eastAsia" w:eastAsia="宋体" w:cs="宋体"/>
          <w:b w:val="0"/>
          <w:bCs w:val="0"/>
          <w:i w:val="0"/>
          <w:iCs w:val="0"/>
          <w:caps w:val="0"/>
          <w:color w:val="auto"/>
          <w:spacing w:val="0"/>
          <w:sz w:val="24"/>
          <w:szCs w:val="24"/>
          <w:highlight w:val="none"/>
          <w:shd w:val="clear" w:color="auto" w:fill="FFFFFF"/>
          <w:lang w:val="en-US" w:eastAsia="zh-CN"/>
        </w:rPr>
        <w:t>6.4剩余3%，待质量保修期（缺陷责任期）满后30日内支付剩余款项。以上款项乙方须提供盖有单位公章的收款收据，收到收款收据及相关材料后</w:t>
      </w:r>
      <w:r>
        <w:rPr>
          <w:rFonts w:hint="eastAsia" w:ascii="宋体" w:hAnsi="宋体" w:eastAsia="宋体" w:cs="宋体"/>
          <w:color w:val="auto"/>
          <w:kern w:val="0"/>
          <w:sz w:val="24"/>
          <w:szCs w:val="24"/>
          <w:highlight w:val="none"/>
          <w:shd w:val="clear" w:color="auto" w:fill="FFFFFF"/>
          <w:lang w:val="en-US" w:eastAsia="zh-CN" w:bidi="ar-SA"/>
        </w:rPr>
        <w:t>30日内，</w:t>
      </w:r>
      <w:r>
        <w:rPr>
          <w:rFonts w:hint="eastAsia" w:eastAsia="宋体" w:cs="宋体"/>
          <w:b w:val="0"/>
          <w:bCs w:val="0"/>
          <w:i w:val="0"/>
          <w:iCs w:val="0"/>
          <w:caps w:val="0"/>
          <w:color w:val="auto"/>
          <w:spacing w:val="0"/>
          <w:sz w:val="24"/>
          <w:szCs w:val="24"/>
          <w:highlight w:val="none"/>
          <w:shd w:val="clear" w:color="auto" w:fill="FFFFFF"/>
          <w:lang w:val="en-US" w:eastAsia="zh-CN"/>
        </w:rPr>
        <w:t>支付相应的</w:t>
      </w:r>
      <w:r>
        <w:rPr>
          <w:rFonts w:hint="eastAsia" w:eastAsia="宋体" w:cs="宋体"/>
          <w:b w:val="0"/>
          <w:bCs w:val="0"/>
          <w:i w:val="0"/>
          <w:iCs w:val="0"/>
          <w:caps w:val="0"/>
          <w:color w:val="auto"/>
          <w:spacing w:val="0"/>
          <w:sz w:val="24"/>
          <w:szCs w:val="24"/>
          <w:shd w:val="clear" w:color="auto" w:fill="FFFFFF"/>
          <w:lang w:val="en-US" w:eastAsia="zh-CN"/>
        </w:rPr>
        <w:t>金额。</w:t>
      </w:r>
    </w:p>
    <w:p w14:paraId="6C651B91">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八、履约保证金</w:t>
      </w:r>
    </w:p>
    <w:p w14:paraId="55C465CC">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8.1乙方向甲方缴纳人民币</w:t>
      </w:r>
      <w:r>
        <w:rPr>
          <w:rFonts w:hint="eastAsia" w:ascii="宋体" w:hAnsi="宋体" w:eastAsia="宋体" w:cs="宋体"/>
          <w:sz w:val="24"/>
          <w:szCs w:val="24"/>
          <w:u w:val="single"/>
          <w:lang w:val="en-US" w:eastAsia="zh-CN"/>
        </w:rPr>
        <w:t xml:space="preserve"> 200000 </w:t>
      </w:r>
      <w:r>
        <w:rPr>
          <w:rFonts w:hint="eastAsia" w:ascii="宋体" w:hAnsi="宋体" w:eastAsia="宋体" w:cs="宋体"/>
          <w:sz w:val="24"/>
          <w:szCs w:val="24"/>
        </w:rPr>
        <w:t>元作为本合同的履约保证金。</w:t>
      </w:r>
    </w:p>
    <w:p w14:paraId="48DE248D">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8.2履约保证金缴纳形式：合同签订前，</w:t>
      </w:r>
      <w:r>
        <w:rPr>
          <w:rFonts w:hint="eastAsia" w:ascii="宋体" w:hAnsi="宋体" w:eastAsia="宋体" w:cs="宋体"/>
          <w:sz w:val="24"/>
          <w:szCs w:val="24"/>
          <w:lang w:eastAsia="zh-CN"/>
        </w:rPr>
        <w:t>乙方</w:t>
      </w:r>
      <w:r>
        <w:rPr>
          <w:rFonts w:hint="eastAsia" w:ascii="宋体" w:hAnsi="宋体" w:eastAsia="宋体" w:cs="宋体"/>
          <w:sz w:val="24"/>
          <w:szCs w:val="24"/>
        </w:rPr>
        <w:t>向</w:t>
      </w:r>
      <w:r>
        <w:rPr>
          <w:rFonts w:hint="eastAsia" w:ascii="宋体" w:hAnsi="宋体" w:eastAsia="宋体" w:cs="宋体"/>
          <w:sz w:val="24"/>
          <w:szCs w:val="24"/>
          <w:lang w:eastAsia="zh-CN"/>
        </w:rPr>
        <w:t>甲方</w:t>
      </w:r>
      <w:r>
        <w:rPr>
          <w:rFonts w:hint="eastAsia" w:ascii="宋体" w:hAnsi="宋体" w:eastAsia="宋体" w:cs="宋体"/>
          <w:sz w:val="24"/>
          <w:szCs w:val="24"/>
        </w:rPr>
        <w:t>缴纳合同金额的</w:t>
      </w:r>
      <w:r>
        <w:rPr>
          <w:rFonts w:hint="eastAsia" w:ascii="宋体" w:hAnsi="宋体" w:eastAsia="宋体" w:cs="宋体"/>
          <w:sz w:val="24"/>
          <w:szCs w:val="24"/>
          <w:lang w:val="en-US" w:eastAsia="zh-CN"/>
        </w:rPr>
        <w:t>10</w:t>
      </w:r>
      <w:r>
        <w:rPr>
          <w:rFonts w:hint="eastAsia" w:ascii="宋体" w:hAnsi="宋体" w:eastAsia="宋体" w:cs="宋体"/>
          <w:sz w:val="24"/>
          <w:szCs w:val="24"/>
        </w:rPr>
        <w:t>%的履约保证金。</w:t>
      </w:r>
      <w:r>
        <w:rPr>
          <w:rFonts w:hint="eastAsia" w:ascii="宋体" w:hAnsi="宋体" w:eastAsia="宋体" w:cs="宋体"/>
          <w:b w:val="0"/>
          <w:bCs w:val="0"/>
          <w:i w:val="0"/>
          <w:iCs w:val="0"/>
          <w:caps w:val="0"/>
          <w:color w:val="auto"/>
          <w:spacing w:val="0"/>
          <w:sz w:val="24"/>
          <w:szCs w:val="24"/>
          <w:shd w:val="clear" w:color="auto" w:fill="FFFFFF"/>
          <w:lang w:val="en-US" w:eastAsia="zh-CN"/>
        </w:rPr>
        <w:t>乙方以银行转账、支票、银行无条件支付保函（保函有效期应当涵盖本项目合同有效期）等非现金形式提交。</w:t>
      </w:r>
    </w:p>
    <w:p w14:paraId="063F668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left="0" w:right="0" w:firstLine="420"/>
        <w:textAlignment w:val="auto"/>
        <w:rPr>
          <w:rFonts w:hint="default" w:ascii="宋体" w:hAnsi="宋体" w:eastAsia="宋体" w:cs="宋体"/>
          <w:b/>
          <w:bCs/>
          <w:i w:val="0"/>
          <w:iCs w:val="0"/>
          <w:caps w:val="0"/>
          <w:color w:val="auto"/>
          <w:spacing w:val="0"/>
          <w:sz w:val="24"/>
          <w:szCs w:val="24"/>
          <w:highlight w:val="none"/>
          <w:shd w:val="clear" w:color="auto" w:fill="FFFFFF"/>
          <w:lang w:val="en-US" w:eastAsia="zh-CN"/>
        </w:rPr>
      </w:pPr>
      <w:r>
        <w:rPr>
          <w:rFonts w:hint="eastAsia" w:ascii="宋体" w:hAnsi="宋体" w:eastAsia="宋体" w:cs="宋体"/>
          <w:sz w:val="24"/>
          <w:szCs w:val="24"/>
        </w:rPr>
        <w:t>8.3履约保证金退还情况</w:t>
      </w:r>
      <w:r>
        <w:rPr>
          <w:rFonts w:hint="eastAsia" w:ascii="宋体" w:hAnsi="宋体" w:eastAsia="宋体" w:cs="宋体"/>
          <w:color w:val="auto"/>
          <w:sz w:val="24"/>
          <w:szCs w:val="24"/>
          <w:highlight w:val="none"/>
        </w:rPr>
        <w:t>说明：如</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未按合同有关规定履行其义务，</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有权不予退还履约保证金，用以补偿。</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履约保证金在合同期内所有项目竣工验收合格且经甲方确认双方无未了事项后，甲方在收到成交供应商书面申请及相关材料后</w:t>
      </w:r>
      <w:r>
        <w:rPr>
          <w:rFonts w:hint="eastAsia" w:ascii="宋体" w:hAnsi="宋体" w:eastAsia="宋体" w:cs="宋体"/>
          <w:color w:val="auto"/>
          <w:kern w:val="0"/>
          <w:sz w:val="24"/>
          <w:szCs w:val="24"/>
          <w:highlight w:val="none"/>
          <w:shd w:val="clear" w:color="auto" w:fill="FFFFFF"/>
          <w:lang w:val="en-US" w:eastAsia="zh-CN" w:bidi="ar-SA"/>
        </w:rPr>
        <w:t>30日内</w:t>
      </w:r>
      <w:r>
        <w:rPr>
          <w:rFonts w:hint="eastAsia" w:ascii="宋体" w:hAnsi="宋体" w:eastAsia="宋体" w:cs="宋体"/>
          <w:b w:val="0"/>
          <w:bCs w:val="0"/>
          <w:i w:val="0"/>
          <w:iCs w:val="0"/>
          <w:caps w:val="0"/>
          <w:color w:val="auto"/>
          <w:spacing w:val="0"/>
          <w:sz w:val="24"/>
          <w:szCs w:val="24"/>
          <w:highlight w:val="none"/>
          <w:shd w:val="clear" w:color="auto" w:fill="FFFFFF"/>
          <w:lang w:val="en-US" w:eastAsia="zh-CN"/>
        </w:rPr>
        <w:t>无息退还。</w:t>
      </w:r>
    </w:p>
    <w:p w14:paraId="28F73571">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九、合同有效期</w:t>
      </w:r>
    </w:p>
    <w:p w14:paraId="7A8AF905">
      <w:pPr>
        <w:pStyle w:val="48"/>
        <w:keepNext w:val="0"/>
        <w:keepLines w:val="0"/>
        <w:pageBreakBefore w:val="0"/>
        <w:kinsoku/>
        <w:overflowPunct/>
        <w:topLinePunct w:val="0"/>
        <w:autoSpaceDE/>
        <w:autoSpaceDN/>
        <w:bidi w:val="0"/>
        <w:adjustRightInd/>
        <w:spacing w:line="400" w:lineRule="exact"/>
        <w:ind w:firstLine="480" w:firstLineChars="200"/>
        <w:textAlignment w:val="auto"/>
        <w:outlineLvl w:val="3"/>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color w:val="auto"/>
          <w:kern w:val="0"/>
          <w:sz w:val="24"/>
          <w:szCs w:val="24"/>
          <w:highlight w:val="none"/>
        </w:rPr>
        <w:t>自合同签订之日起</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eastAsia="zh-CN"/>
        </w:rPr>
        <w:t>。</w:t>
      </w:r>
      <w:r>
        <w:rPr>
          <w:rFonts w:hint="eastAsia" w:ascii="宋体" w:hAnsi="宋体" w:eastAsia="宋体" w:cs="宋体"/>
          <w:b w:val="0"/>
          <w:bCs w:val="0"/>
          <w:color w:val="auto"/>
          <w:sz w:val="24"/>
          <w:szCs w:val="24"/>
          <w:highlight w:val="none"/>
          <w:shd w:val="clear" w:color="auto" w:fill="FFFFFF"/>
        </w:rPr>
        <w:t>若合同期满或在合同内采购金额已经达到本项目预算金额，</w:t>
      </w:r>
      <w:r>
        <w:rPr>
          <w:rFonts w:hint="eastAsia" w:ascii="宋体" w:hAnsi="宋体" w:eastAsia="宋体" w:cs="宋体"/>
          <w:b w:val="0"/>
          <w:bCs w:val="0"/>
          <w:color w:val="auto"/>
          <w:sz w:val="24"/>
          <w:szCs w:val="24"/>
          <w:highlight w:val="none"/>
          <w:shd w:val="clear" w:color="auto" w:fill="FFFFFF"/>
          <w:lang w:eastAsia="zh-CN"/>
        </w:rPr>
        <w:t>则合同服务承接期限自动终止（仅承接期限终止，单项施工项目仍按合同条款执行）</w:t>
      </w:r>
      <w:r>
        <w:rPr>
          <w:rFonts w:hint="eastAsia" w:ascii="宋体" w:hAnsi="宋体" w:eastAsia="宋体" w:cs="宋体"/>
          <w:b w:val="0"/>
          <w:bCs w:val="0"/>
          <w:color w:val="auto"/>
          <w:sz w:val="24"/>
          <w:szCs w:val="24"/>
          <w:highlight w:val="none"/>
          <w:shd w:val="clear" w:color="auto" w:fill="FFFFFF"/>
        </w:rPr>
        <w:t>。</w:t>
      </w:r>
    </w:p>
    <w:p w14:paraId="009E5A50">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highlight w:val="none"/>
        </w:rPr>
      </w:pPr>
      <w:r>
        <w:rPr>
          <w:rFonts w:hint="eastAsia" w:ascii="宋体" w:hAnsi="宋体" w:eastAsia="宋体" w:cs="宋体"/>
          <w:b/>
          <w:sz w:val="24"/>
          <w:szCs w:val="24"/>
          <w:highlight w:val="none"/>
        </w:rPr>
        <w:t>十、违约责任</w:t>
      </w:r>
    </w:p>
    <w:p w14:paraId="440AB2A4">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b/>
          <w:sz w:val="24"/>
          <w:szCs w:val="24"/>
        </w:rPr>
      </w:pPr>
    </w:p>
    <w:p w14:paraId="2531AC88">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十一、知识产权</w:t>
      </w:r>
    </w:p>
    <w:p w14:paraId="2982115F">
      <w:pPr>
        <w:pStyle w:val="48"/>
        <w:keepNext w:val="0"/>
        <w:keepLines w:val="0"/>
        <w:pageBreakBefore w:val="0"/>
        <w:kinsoku/>
        <w:overflowPunct/>
        <w:topLinePunct w:val="0"/>
        <w:autoSpaceDE/>
        <w:autoSpaceDN/>
        <w:bidi w:val="0"/>
        <w:adjustRightInd/>
        <w:spacing w:line="400" w:lineRule="exact"/>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乙方</w:t>
      </w:r>
      <w:r>
        <w:rPr>
          <w:rFonts w:hint="eastAsia" w:ascii="宋体" w:hAnsi="宋体" w:eastAsia="宋体" w:cs="宋体"/>
          <w:sz w:val="24"/>
          <w:szCs w:val="24"/>
        </w:rPr>
        <w:t>须保障</w:t>
      </w:r>
      <w:r>
        <w:rPr>
          <w:rFonts w:hint="eastAsia" w:ascii="宋体" w:hAnsi="宋体" w:eastAsia="宋体" w:cs="宋体"/>
          <w:sz w:val="24"/>
          <w:szCs w:val="24"/>
          <w:lang w:eastAsia="zh-CN"/>
        </w:rPr>
        <w:t>甲方</w:t>
      </w:r>
      <w:r>
        <w:rPr>
          <w:rFonts w:hint="eastAsia" w:ascii="宋体" w:hAnsi="宋体" w:eastAsia="宋体" w:cs="宋体"/>
          <w:sz w:val="24"/>
          <w:szCs w:val="24"/>
        </w:rPr>
        <w:t>在使用设备或图纸等其任何一部分时不受到第三方关于侵犯专利权、商标权或工业设计权等知识产权的指控。如果任何第三方提出侵权指控与</w:t>
      </w:r>
      <w:r>
        <w:rPr>
          <w:rFonts w:hint="eastAsia" w:ascii="宋体" w:hAnsi="宋体" w:eastAsia="宋体" w:cs="宋体"/>
          <w:sz w:val="24"/>
          <w:szCs w:val="24"/>
          <w:lang w:eastAsia="zh-CN"/>
        </w:rPr>
        <w:t>甲方</w:t>
      </w:r>
      <w:r>
        <w:rPr>
          <w:rFonts w:hint="eastAsia" w:ascii="宋体" w:hAnsi="宋体" w:eastAsia="宋体" w:cs="宋体"/>
          <w:sz w:val="24"/>
          <w:szCs w:val="24"/>
        </w:rPr>
        <w:t>无关，</w:t>
      </w:r>
      <w:r>
        <w:rPr>
          <w:rFonts w:hint="eastAsia" w:ascii="宋体" w:hAnsi="宋体" w:eastAsia="宋体" w:cs="宋体"/>
          <w:sz w:val="24"/>
          <w:szCs w:val="24"/>
          <w:lang w:eastAsia="zh-CN"/>
        </w:rPr>
        <w:t>乙方</w:t>
      </w:r>
      <w:r>
        <w:rPr>
          <w:rFonts w:hint="eastAsia" w:ascii="宋体" w:hAnsi="宋体" w:eastAsia="宋体" w:cs="宋体"/>
          <w:sz w:val="24"/>
          <w:szCs w:val="24"/>
        </w:rPr>
        <w:t>须与第三方交涉并承担可能发生的责任与一切费用。如</w:t>
      </w:r>
      <w:r>
        <w:rPr>
          <w:rFonts w:hint="eastAsia" w:ascii="宋体" w:hAnsi="宋体" w:eastAsia="宋体" w:cs="宋体"/>
          <w:sz w:val="24"/>
          <w:szCs w:val="24"/>
          <w:lang w:eastAsia="zh-CN"/>
        </w:rPr>
        <w:t>甲方</w:t>
      </w:r>
      <w:r>
        <w:rPr>
          <w:rFonts w:hint="eastAsia" w:ascii="宋体" w:hAnsi="宋体" w:eastAsia="宋体" w:cs="宋体"/>
          <w:sz w:val="24"/>
          <w:szCs w:val="24"/>
        </w:rPr>
        <w:t>因此而遭致损失的，</w:t>
      </w:r>
      <w:r>
        <w:rPr>
          <w:rFonts w:hint="eastAsia" w:ascii="宋体" w:hAnsi="宋体" w:eastAsia="宋体" w:cs="宋体"/>
          <w:sz w:val="24"/>
          <w:szCs w:val="24"/>
          <w:lang w:eastAsia="zh-CN"/>
        </w:rPr>
        <w:t>乙方</w:t>
      </w:r>
      <w:r>
        <w:rPr>
          <w:rFonts w:hint="eastAsia" w:ascii="宋体" w:hAnsi="宋体" w:eastAsia="宋体" w:cs="宋体"/>
          <w:sz w:val="24"/>
          <w:szCs w:val="24"/>
        </w:rPr>
        <w:t>应赔偿该损失。</w:t>
      </w:r>
    </w:p>
    <w:p w14:paraId="4BCFAF8F">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十二、解决争议的方法</w:t>
      </w:r>
    </w:p>
    <w:p w14:paraId="200A9FE9">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12.1甲、乙双方协商解决。</w:t>
      </w:r>
    </w:p>
    <w:p w14:paraId="5BB57A14">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12.2若协商解决不成，双方明确按以下第</w:t>
      </w:r>
      <w:r>
        <w:rPr>
          <w:rFonts w:hint="eastAsia" w:ascii="宋体" w:hAnsi="宋体" w:eastAsia="宋体" w:cs="宋体"/>
          <w:sz w:val="24"/>
          <w:szCs w:val="24"/>
          <w:u w:val="single"/>
        </w:rPr>
        <w:t xml:space="preserve"> 2 </w:t>
      </w:r>
      <w:r>
        <w:rPr>
          <w:rFonts w:hint="eastAsia" w:ascii="宋体" w:hAnsi="宋体" w:eastAsia="宋体" w:cs="宋体"/>
          <w:sz w:val="24"/>
          <w:szCs w:val="24"/>
        </w:rPr>
        <w:t>种方式解决：</w:t>
      </w:r>
    </w:p>
    <w:p w14:paraId="033AE93A">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1、提交仲裁委员会仲裁：</w:t>
      </w:r>
    </w:p>
    <w:p w14:paraId="1CC41418">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color w:val="auto"/>
          <w:sz w:val="24"/>
          <w:szCs w:val="24"/>
        </w:rPr>
        <w:t>向</w:t>
      </w:r>
      <w:r>
        <w:rPr>
          <w:rFonts w:hint="eastAsia" w:ascii="宋体" w:hAnsi="宋体" w:eastAsia="宋体" w:cs="宋体"/>
          <w:color w:val="auto"/>
          <w:sz w:val="24"/>
          <w:szCs w:val="24"/>
          <w:lang w:eastAsia="zh-CN"/>
        </w:rPr>
        <w:t>甲方所在地的</w:t>
      </w:r>
      <w:r>
        <w:rPr>
          <w:rFonts w:hint="eastAsia" w:ascii="宋体" w:hAnsi="宋体" w:eastAsia="宋体" w:cs="宋体"/>
          <w:color w:val="auto"/>
          <w:sz w:val="24"/>
          <w:szCs w:val="24"/>
        </w:rPr>
        <w:t>人民</w:t>
      </w:r>
      <w:r>
        <w:rPr>
          <w:rFonts w:hint="eastAsia" w:ascii="宋体" w:hAnsi="宋体" w:eastAsia="宋体" w:cs="宋体"/>
          <w:sz w:val="24"/>
          <w:szCs w:val="24"/>
        </w:rPr>
        <w:t>法院提起诉讼。</w:t>
      </w:r>
    </w:p>
    <w:p w14:paraId="69784BB3">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十三、不可抗力</w:t>
      </w:r>
    </w:p>
    <w:p w14:paraId="24EC04E7">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shd w:val="clear" w:color="auto" w:fill="FFFFFF"/>
          <w:lang w:eastAsia="zh-CN"/>
        </w:rPr>
        <w:t>因不可抗力因素造成违约的，遭受不可抗力一方应及时让对方知晓不能履行或不能完全履行的理由。基于以上行为，允许遭受不可抗力一方延期履行、部分履行或者不能履行</w:t>
      </w:r>
      <w:r>
        <w:rPr>
          <w:rFonts w:hint="eastAsia" w:ascii="宋体" w:hAnsi="宋体" w:eastAsia="宋体" w:cs="宋体"/>
          <w:color w:val="auto"/>
          <w:kern w:val="0"/>
          <w:sz w:val="24"/>
          <w:szCs w:val="24"/>
          <w:highlight w:val="none"/>
          <w:shd w:val="clear" w:color="auto" w:fill="FFFFFF"/>
          <w:lang w:val="en-US" w:eastAsia="zh-CN"/>
        </w:rPr>
        <w:t>采购</w:t>
      </w:r>
      <w:r>
        <w:rPr>
          <w:rFonts w:hint="eastAsia" w:ascii="宋体" w:hAnsi="宋体" w:eastAsia="宋体" w:cs="宋体"/>
          <w:color w:val="auto"/>
          <w:kern w:val="0"/>
          <w:sz w:val="24"/>
          <w:szCs w:val="24"/>
          <w:highlight w:val="none"/>
          <w:shd w:val="clear" w:color="auto" w:fill="FFFFFF"/>
          <w:lang w:eastAsia="zh-CN"/>
        </w:rPr>
        <w:t>文件条款，并根据情况可部分或全部分免于承担违约责任。注：本条款不可抗力指不能预见、不能避免并不能克服的客观情况。包括但不限于：自然灾害（地震、台风、洪水、火灾）、政府行为、法律规定或其适用的变化，或者其他任何无法预见、避免（控制）的事件。</w:t>
      </w:r>
    </w:p>
    <w:p w14:paraId="311041B2">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十四、合同条款</w:t>
      </w:r>
    </w:p>
    <w:p w14:paraId="333D85D3">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eastAsia="zh-CN"/>
        </w:rPr>
        <w:t>（根据</w:t>
      </w:r>
      <w:r>
        <w:rPr>
          <w:rFonts w:hint="eastAsia" w:ascii="宋体" w:hAnsi="宋体" w:eastAsia="宋体" w:cs="宋体"/>
          <w:sz w:val="24"/>
          <w:szCs w:val="24"/>
          <w:lang w:val="en-US" w:eastAsia="zh-CN"/>
        </w:rPr>
        <w:t>磋商文件及</w:t>
      </w:r>
      <w:r>
        <w:rPr>
          <w:rFonts w:hint="eastAsia" w:ascii="宋体" w:hAnsi="宋体" w:eastAsia="宋体" w:cs="宋体"/>
          <w:sz w:val="24"/>
          <w:szCs w:val="24"/>
          <w:lang w:eastAsia="zh-CN"/>
        </w:rPr>
        <w:t>乙方响应文件</w:t>
      </w:r>
      <w:r>
        <w:rPr>
          <w:rFonts w:hint="eastAsia" w:ascii="宋体" w:hAnsi="宋体" w:eastAsia="宋体" w:cs="宋体"/>
          <w:sz w:val="24"/>
          <w:szCs w:val="24"/>
          <w:lang w:val="en-US" w:eastAsia="zh-CN"/>
        </w:rPr>
        <w:t>内容填写</w:t>
      </w:r>
      <w:r>
        <w:rPr>
          <w:rFonts w:hint="eastAsia" w:ascii="宋体" w:hAnsi="宋体" w:eastAsia="宋体" w:cs="宋体"/>
          <w:sz w:val="24"/>
          <w:szCs w:val="24"/>
          <w:lang w:eastAsia="zh-CN"/>
        </w:rPr>
        <w:t>）</w:t>
      </w:r>
    </w:p>
    <w:p w14:paraId="65494D39">
      <w:pPr>
        <w:pStyle w:val="48"/>
        <w:keepNext w:val="0"/>
        <w:keepLines w:val="0"/>
        <w:pageBreakBefore w:val="0"/>
        <w:kinsoku/>
        <w:overflowPunct/>
        <w:topLinePunct w:val="0"/>
        <w:autoSpaceDE/>
        <w:autoSpaceDN/>
        <w:bidi w:val="0"/>
        <w:adjustRightInd/>
        <w:spacing w:line="400" w:lineRule="exact"/>
        <w:ind w:firstLine="482" w:firstLineChars="200"/>
        <w:textAlignment w:val="auto"/>
        <w:outlineLvl w:val="3"/>
        <w:rPr>
          <w:rFonts w:hint="eastAsia" w:ascii="宋体" w:hAnsi="宋体" w:eastAsia="宋体" w:cs="宋体"/>
          <w:b/>
          <w:bCs/>
          <w:sz w:val="24"/>
          <w:szCs w:val="24"/>
          <w:lang w:val="en-US" w:eastAsia="zh-CN"/>
        </w:rPr>
      </w:pPr>
    </w:p>
    <w:p w14:paraId="509870AD">
      <w:pPr>
        <w:pStyle w:val="48"/>
        <w:keepNext w:val="0"/>
        <w:keepLines w:val="0"/>
        <w:pageBreakBefore w:val="0"/>
        <w:kinsoku/>
        <w:overflowPunct/>
        <w:topLinePunct w:val="0"/>
        <w:autoSpaceDE/>
        <w:autoSpaceDN/>
        <w:bidi w:val="0"/>
        <w:adjustRightInd/>
        <w:spacing w:line="400" w:lineRule="exact"/>
        <w:textAlignment w:val="auto"/>
        <w:outlineLvl w:val="3"/>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十五、保密条款</w:t>
      </w:r>
    </w:p>
    <w:p w14:paraId="12616503">
      <w:pPr>
        <w:pStyle w:val="48"/>
        <w:keepNext w:val="0"/>
        <w:keepLines w:val="0"/>
        <w:pageBreakBefore w:val="0"/>
        <w:kinsoku/>
        <w:overflowPunct/>
        <w:topLinePunct w:val="0"/>
        <w:autoSpaceDE/>
        <w:autoSpaceDN/>
        <w:bidi w:val="0"/>
        <w:adjustRightInd/>
        <w:spacing w:line="400" w:lineRule="exact"/>
        <w:ind w:firstLine="480" w:firstLineChars="200"/>
        <w:textAlignment w:val="auto"/>
        <w:outlineLvl w:val="3"/>
        <w:rPr>
          <w:rFonts w:hint="eastAsia" w:ascii="宋体" w:hAnsi="宋体" w:eastAsia="宋体" w:cs="宋体"/>
          <w:sz w:val="24"/>
          <w:szCs w:val="24"/>
          <w:lang w:eastAsia="zh-CN"/>
        </w:rPr>
      </w:pPr>
      <w:r>
        <w:rPr>
          <w:rFonts w:hint="eastAsia" w:ascii="宋体" w:hAnsi="宋体" w:eastAsia="宋体" w:cs="宋体"/>
          <w:sz w:val="24"/>
          <w:szCs w:val="24"/>
          <w:lang w:eastAsia="zh-CN"/>
        </w:rPr>
        <w:t>15.1乙方应当对本项目的内容、因履行本项目或在本项目合同期间知悉的或收到的甲方的财务、技术、产品信息、人员资料或其他工作上的文件资料、工作内容等予以保密，不得向本项目合同以外的任何第三方披露，签订并严格执行《单位保密承诺书》；鉴于场所的特殊性，所有项目施工人员须签订保密和安全协议。</w:t>
      </w:r>
    </w:p>
    <w:p w14:paraId="6781E1F9">
      <w:pPr>
        <w:pStyle w:val="48"/>
        <w:keepNext w:val="0"/>
        <w:keepLines w:val="0"/>
        <w:pageBreakBefore w:val="0"/>
        <w:kinsoku/>
        <w:overflowPunct/>
        <w:topLinePunct w:val="0"/>
        <w:autoSpaceDE/>
        <w:autoSpaceDN/>
        <w:bidi w:val="0"/>
        <w:adjustRightInd/>
        <w:spacing w:line="400" w:lineRule="exact"/>
        <w:ind w:firstLine="480" w:firstLineChars="200"/>
        <w:textAlignment w:val="auto"/>
        <w:outlineLvl w:val="3"/>
        <w:rPr>
          <w:rFonts w:hint="eastAsia" w:ascii="宋体" w:hAnsi="宋体" w:eastAsia="宋体" w:cs="宋体"/>
          <w:sz w:val="24"/>
          <w:szCs w:val="24"/>
          <w:lang w:eastAsia="zh-CN"/>
        </w:rPr>
      </w:pPr>
      <w:r>
        <w:rPr>
          <w:rFonts w:hint="eastAsia" w:ascii="宋体" w:hAnsi="宋体" w:eastAsia="宋体" w:cs="宋体"/>
          <w:sz w:val="24"/>
          <w:szCs w:val="24"/>
          <w:lang w:eastAsia="zh-CN"/>
        </w:rPr>
        <w:t>15.2乙方违反本条约定泄露甲方的涉密信息的，应承担相应的法律责任，造成甲方损失的，乙方应当依法承担赔偿责任。</w:t>
      </w:r>
    </w:p>
    <w:p w14:paraId="7A317838">
      <w:pPr>
        <w:pStyle w:val="48"/>
        <w:keepNext w:val="0"/>
        <w:keepLines w:val="0"/>
        <w:pageBreakBefore w:val="0"/>
        <w:kinsoku/>
        <w:overflowPunct/>
        <w:topLinePunct w:val="0"/>
        <w:autoSpaceDE/>
        <w:autoSpaceDN/>
        <w:bidi w:val="0"/>
        <w:adjustRightInd/>
        <w:spacing w:line="400" w:lineRule="exact"/>
        <w:ind w:firstLine="480" w:firstLineChars="200"/>
        <w:textAlignment w:val="auto"/>
        <w:outlineLvl w:val="3"/>
        <w:rPr>
          <w:rFonts w:hint="eastAsia" w:ascii="宋体" w:hAnsi="宋体" w:eastAsia="宋体" w:cs="宋体"/>
          <w:sz w:val="24"/>
          <w:szCs w:val="24"/>
          <w:lang w:eastAsia="zh-CN"/>
        </w:rPr>
      </w:pPr>
      <w:r>
        <w:rPr>
          <w:rFonts w:hint="eastAsia" w:ascii="宋体" w:hAnsi="宋体" w:eastAsia="宋体" w:cs="宋体"/>
          <w:sz w:val="24"/>
          <w:szCs w:val="24"/>
          <w:lang w:eastAsia="zh-CN"/>
        </w:rPr>
        <w:t>15.3本条款不因合同届满或解除而失效。</w:t>
      </w:r>
    </w:p>
    <w:p w14:paraId="4FD28C86">
      <w:pPr>
        <w:pStyle w:val="48"/>
        <w:keepNext w:val="0"/>
        <w:keepLines w:val="0"/>
        <w:pageBreakBefore w:val="0"/>
        <w:kinsoku/>
        <w:overflowPunct/>
        <w:topLinePunct w:val="0"/>
        <w:autoSpaceDE/>
        <w:autoSpaceDN/>
        <w:bidi w:val="0"/>
        <w:adjustRightInd/>
        <w:spacing w:line="400" w:lineRule="exact"/>
        <w:textAlignment w:val="auto"/>
        <w:outlineLvl w:val="3"/>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十六、廉政条款</w:t>
      </w:r>
    </w:p>
    <w:p w14:paraId="6B413713">
      <w:pPr>
        <w:pStyle w:val="48"/>
        <w:keepNext w:val="0"/>
        <w:keepLines w:val="0"/>
        <w:pageBreakBefore w:val="0"/>
        <w:kinsoku/>
        <w:overflowPunct/>
        <w:topLinePunct w:val="0"/>
        <w:autoSpaceDE/>
        <w:autoSpaceDN/>
        <w:bidi w:val="0"/>
        <w:adjustRightInd/>
        <w:spacing w:line="400" w:lineRule="exact"/>
        <w:ind w:firstLine="480" w:firstLineChars="200"/>
        <w:textAlignment w:val="auto"/>
        <w:outlineLvl w:val="3"/>
        <w:rPr>
          <w:rFonts w:hint="eastAsia" w:ascii="宋体" w:hAnsi="宋体" w:eastAsia="宋体" w:cs="宋体"/>
          <w:b/>
          <w:sz w:val="24"/>
          <w:szCs w:val="24"/>
        </w:rPr>
      </w:pPr>
      <w:r>
        <w:rPr>
          <w:rFonts w:hint="eastAsia" w:ascii="宋体" w:hAnsi="宋体" w:eastAsia="宋体" w:cs="宋体"/>
          <w:sz w:val="24"/>
          <w:szCs w:val="24"/>
          <w:lang w:val="en-US" w:eastAsia="zh-CN"/>
        </w:rPr>
        <w:t>乙方</w:t>
      </w:r>
      <w:r>
        <w:rPr>
          <w:rFonts w:hint="eastAsia" w:ascii="宋体" w:hAnsi="宋体" w:eastAsia="宋体" w:cs="宋体"/>
          <w:sz w:val="24"/>
          <w:szCs w:val="24"/>
          <w:lang w:eastAsia="zh-CN"/>
        </w:rPr>
        <w:t>不得有以任何形式行贿</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工作人员的行为，若发现并被核查属实的，</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有权解除合同且不退还履约保证金，情节严重的，</w:t>
      </w:r>
      <w:r>
        <w:rPr>
          <w:rFonts w:hint="eastAsia" w:ascii="宋体" w:hAnsi="宋体" w:eastAsia="宋体" w:cs="宋体"/>
          <w:sz w:val="24"/>
          <w:szCs w:val="24"/>
          <w:lang w:val="en-US" w:eastAsia="zh-CN"/>
        </w:rPr>
        <w:t>乙方</w:t>
      </w:r>
      <w:r>
        <w:rPr>
          <w:rFonts w:hint="eastAsia" w:ascii="宋体" w:hAnsi="宋体" w:eastAsia="宋体" w:cs="宋体"/>
          <w:sz w:val="24"/>
          <w:szCs w:val="24"/>
          <w:lang w:eastAsia="zh-CN"/>
        </w:rPr>
        <w:t>还要承担相应的法律责任；</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及其工作人员不得索要或接受</w:t>
      </w:r>
      <w:r>
        <w:rPr>
          <w:rFonts w:hint="eastAsia" w:ascii="宋体" w:hAnsi="宋体" w:eastAsia="宋体" w:cs="宋体"/>
          <w:sz w:val="24"/>
          <w:szCs w:val="24"/>
          <w:lang w:val="en-US" w:eastAsia="zh-CN"/>
        </w:rPr>
        <w:t>乙方</w:t>
      </w:r>
      <w:r>
        <w:rPr>
          <w:rFonts w:hint="eastAsia" w:ascii="宋体" w:hAnsi="宋体" w:eastAsia="宋体" w:cs="宋体"/>
          <w:sz w:val="24"/>
          <w:szCs w:val="24"/>
          <w:lang w:eastAsia="zh-CN"/>
        </w:rPr>
        <w:t>的礼金及吃请等，如有违反廉政纪律等行为的，依据有关规定给予党纪、政纪或组织处理，情节严重的，还应承担相应的法律责任。</w:t>
      </w:r>
    </w:p>
    <w:p w14:paraId="12A1933A">
      <w:pPr>
        <w:pStyle w:val="48"/>
        <w:keepNext w:val="0"/>
        <w:keepLines w:val="0"/>
        <w:pageBreakBefore w:val="0"/>
        <w:kinsoku/>
        <w:overflowPunct/>
        <w:topLinePunct w:val="0"/>
        <w:autoSpaceDE/>
        <w:autoSpaceDN/>
        <w:bidi w:val="0"/>
        <w:adjustRightInd/>
        <w:spacing w:line="400" w:lineRule="exact"/>
        <w:ind w:firstLine="0" w:firstLineChars="0"/>
        <w:textAlignment w:val="auto"/>
        <w:outlineLvl w:val="3"/>
        <w:rPr>
          <w:rFonts w:hint="eastAsia" w:ascii="宋体" w:hAnsi="宋体" w:eastAsia="宋体" w:cs="宋体"/>
          <w:sz w:val="24"/>
          <w:szCs w:val="24"/>
        </w:rPr>
      </w:pPr>
      <w:r>
        <w:rPr>
          <w:rFonts w:hint="eastAsia" w:ascii="宋体" w:hAnsi="宋体" w:eastAsia="宋体" w:cs="宋体"/>
          <w:b/>
          <w:sz w:val="24"/>
          <w:szCs w:val="24"/>
        </w:rPr>
        <w:t>十</w:t>
      </w:r>
      <w:r>
        <w:rPr>
          <w:rFonts w:hint="eastAsia" w:ascii="宋体" w:hAnsi="宋体" w:eastAsia="宋体" w:cs="宋体"/>
          <w:b/>
          <w:sz w:val="24"/>
          <w:szCs w:val="24"/>
          <w:lang w:val="en-US" w:eastAsia="zh-CN"/>
        </w:rPr>
        <w:t>七</w:t>
      </w:r>
      <w:r>
        <w:rPr>
          <w:rFonts w:hint="eastAsia" w:ascii="宋体" w:hAnsi="宋体" w:eastAsia="宋体" w:cs="宋体"/>
          <w:b/>
          <w:sz w:val="24"/>
          <w:szCs w:val="24"/>
        </w:rPr>
        <w:t>、其他约定</w:t>
      </w:r>
    </w:p>
    <w:p w14:paraId="4456D8B4">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.1合同文件与本合同具有同等法律效力。</w:t>
      </w:r>
    </w:p>
    <w:p w14:paraId="1501A88F">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.2合同生效：合同经双方法定代表人或委托代理人签字并加盖单位公章后生效</w:t>
      </w:r>
      <w:r>
        <w:rPr>
          <w:rFonts w:hint="eastAsia" w:ascii="宋体" w:hAnsi="宋体" w:eastAsia="宋体" w:cs="宋体"/>
          <w:sz w:val="24"/>
          <w:szCs w:val="24"/>
          <w:lang w:eastAsia="zh-CN"/>
        </w:rPr>
        <w:t>。</w:t>
      </w:r>
    </w:p>
    <w:p w14:paraId="4C413015">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.3乙方完全遵守《中华人民共和国劳动合同法》有关规定和《中华人民共和国妇女权益保障法》中关于“劳动和社会保障权益”的有关要求。</w:t>
      </w:r>
    </w:p>
    <w:p w14:paraId="0A07BE67">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.4本合同未尽事宜，遵照《中华人民共和国民法典》有关条文执行。</w:t>
      </w:r>
    </w:p>
    <w:p w14:paraId="15CB0114">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.5本合同正本一式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份，具有同等法律效力，甲方、乙方各执</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份；副本</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份，招标代理持有</w:t>
      </w:r>
      <w:r>
        <w:rPr>
          <w:rFonts w:hint="eastAsia" w:ascii="宋体" w:hAnsi="宋体" w:eastAsia="宋体" w:cs="宋体"/>
          <w:sz w:val="24"/>
          <w:szCs w:val="24"/>
          <w:lang w:eastAsia="zh-CN"/>
        </w:rPr>
        <w:t>。</w:t>
      </w:r>
    </w:p>
    <w:p w14:paraId="2624AD2A">
      <w:pPr>
        <w:pStyle w:val="48"/>
        <w:keepNext w:val="0"/>
        <w:keepLines w:val="0"/>
        <w:pageBreakBefore w:val="0"/>
        <w:kinsoku/>
        <w:overflowPunct/>
        <w:topLinePunct w:val="0"/>
        <w:autoSpaceDE/>
        <w:autoSpaceDN/>
        <w:bidi w:val="0"/>
        <w:adjustRightInd/>
        <w:spacing w:line="400" w:lineRule="exact"/>
        <w:ind w:firstLine="480" w:firstLineChars="200"/>
        <w:textAlignment w:val="auto"/>
        <w:rPr>
          <w:rFonts w:hint="eastAsia" w:ascii="宋体" w:hAnsi="宋体" w:eastAsia="宋体" w:cs="宋体"/>
          <w:sz w:val="24"/>
          <w:szCs w:val="24"/>
          <w:u w:val="single"/>
          <w:lang w:val="en-US"/>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其他</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p>
    <w:p w14:paraId="29C57ABE">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outlineLvl w:val="3"/>
        <w:rPr>
          <w:rFonts w:hint="eastAsia" w:ascii="宋体" w:hAnsi="宋体" w:eastAsia="宋体" w:cs="宋体"/>
          <w:b/>
          <w:sz w:val="24"/>
          <w:szCs w:val="24"/>
          <w:lang w:val="en-US" w:eastAsia="zh-CN"/>
        </w:rPr>
      </w:pPr>
      <w:r>
        <w:rPr>
          <w:rFonts w:hint="eastAsia" w:ascii="宋体" w:hAnsi="宋体" w:eastAsia="宋体" w:cs="宋体"/>
          <w:b/>
          <w:sz w:val="24"/>
          <w:szCs w:val="24"/>
        </w:rPr>
        <w:t xml:space="preserve"> 十</w:t>
      </w:r>
      <w:r>
        <w:rPr>
          <w:rFonts w:hint="eastAsia" w:ascii="宋体" w:hAnsi="宋体" w:eastAsia="宋体" w:cs="宋体"/>
          <w:b/>
          <w:sz w:val="24"/>
          <w:szCs w:val="24"/>
          <w:lang w:val="en-US" w:eastAsia="zh-CN"/>
        </w:rPr>
        <w:t>八</w:t>
      </w:r>
      <w:r>
        <w:rPr>
          <w:rFonts w:hint="eastAsia" w:ascii="宋体" w:hAnsi="宋体" w:eastAsia="宋体" w:cs="宋体"/>
          <w:b/>
          <w:sz w:val="24"/>
          <w:szCs w:val="24"/>
        </w:rPr>
        <w:t>、合同附件</w:t>
      </w:r>
      <w:r>
        <w:rPr>
          <w:rFonts w:hint="eastAsia" w:ascii="宋体" w:hAnsi="宋体" w:eastAsia="宋体" w:cs="宋体"/>
          <w:b/>
          <w:sz w:val="24"/>
          <w:szCs w:val="24"/>
          <w:lang w:eastAsia="zh-CN"/>
        </w:rPr>
        <w:t>：</w:t>
      </w:r>
    </w:p>
    <w:p w14:paraId="3C5A6B9B">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甲方（采购人）：</w:t>
      </w:r>
    </w:p>
    <w:p w14:paraId="384F2E25">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法定（授权）代表人</w:t>
      </w:r>
    </w:p>
    <w:p w14:paraId="1B46DC75">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纳税人识别号：</w:t>
      </w:r>
    </w:p>
    <w:p w14:paraId="11D33BA1">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开户银行：</w:t>
      </w:r>
    </w:p>
    <w:p w14:paraId="630DEF19">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银行账号：</w:t>
      </w:r>
    </w:p>
    <w:p w14:paraId="6F082CD3">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乙方（成交</w:t>
      </w:r>
      <w:r>
        <w:rPr>
          <w:rFonts w:hint="eastAsia" w:ascii="宋体" w:hAnsi="宋体" w:eastAsia="宋体" w:cs="宋体"/>
          <w:sz w:val="24"/>
          <w:szCs w:val="24"/>
          <w:lang w:val="en-US" w:eastAsia="zh-CN"/>
        </w:rPr>
        <w:t>供应商</w:t>
      </w:r>
      <w:r>
        <w:rPr>
          <w:rFonts w:hint="eastAsia" w:ascii="宋体" w:hAnsi="宋体" w:eastAsia="宋体" w:cs="宋体"/>
          <w:sz w:val="24"/>
          <w:szCs w:val="24"/>
        </w:rPr>
        <w:t>）：</w:t>
      </w:r>
    </w:p>
    <w:p w14:paraId="6F069FD3">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法定（授权）代表人：</w:t>
      </w:r>
    </w:p>
    <w:p w14:paraId="36FB4179">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纳税人识别号：</w:t>
      </w:r>
    </w:p>
    <w:p w14:paraId="536B1445">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开户银行：</w:t>
      </w:r>
    </w:p>
    <w:p w14:paraId="47AD8826">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银行账号：</w:t>
      </w:r>
    </w:p>
    <w:p w14:paraId="1C15596E">
      <w:pPr>
        <w:pStyle w:val="4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 签订地点：</w:t>
      </w:r>
      <w:r>
        <w:rPr>
          <w:rFonts w:hint="eastAsia" w:ascii="宋体" w:hAnsi="宋体" w:eastAsia="宋体" w:cs="宋体"/>
          <w:sz w:val="24"/>
          <w:szCs w:val="24"/>
          <w:u w:val="single"/>
          <w:lang w:val="en-US" w:eastAsia="zh-CN"/>
        </w:rPr>
        <w:t xml:space="preserve">                </w:t>
      </w:r>
    </w:p>
    <w:p w14:paraId="476C7512">
      <w:pPr>
        <w:pStyle w:val="48"/>
        <w:spacing w:line="360" w:lineRule="auto"/>
        <w:rPr>
          <w:rFonts w:ascii="宋体" w:hAnsi="宋体"/>
          <w:color w:val="auto"/>
          <w:sz w:val="24"/>
          <w:szCs w:val="24"/>
        </w:rPr>
      </w:pPr>
      <w:r>
        <w:rPr>
          <w:rFonts w:hint="eastAsia" w:ascii="宋体" w:hAnsi="宋体" w:eastAsia="宋体" w:cs="宋体"/>
          <w:sz w:val="24"/>
          <w:szCs w:val="24"/>
        </w:rPr>
        <w:t xml:space="preserve"> 签订日期：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ascii="宋体" w:hAnsi="宋体"/>
          <w:color w:val="auto"/>
          <w:sz w:val="24"/>
          <w:szCs w:val="24"/>
        </w:rPr>
        <w:t>日</w:t>
      </w:r>
    </w:p>
    <w:p w14:paraId="291654C0">
      <w:pPr>
        <w:pStyle w:val="48"/>
        <w:spacing w:line="360" w:lineRule="auto"/>
        <w:rPr>
          <w:rFonts w:ascii="宋体" w:hAnsi="宋体"/>
          <w:color w:val="auto"/>
          <w:sz w:val="24"/>
          <w:szCs w:val="24"/>
        </w:rPr>
      </w:pPr>
    </w:p>
    <w:p w14:paraId="6ADA8707">
      <w:pPr>
        <w:pStyle w:val="48"/>
        <w:spacing w:line="360" w:lineRule="auto"/>
        <w:rPr>
          <w:rFonts w:ascii="宋体" w:hAnsi="宋体"/>
          <w:color w:val="auto"/>
          <w:sz w:val="24"/>
          <w:szCs w:val="24"/>
        </w:rPr>
      </w:pPr>
    </w:p>
    <w:p w14:paraId="2676FB04">
      <w:pPr>
        <w:pStyle w:val="48"/>
        <w:spacing w:line="360" w:lineRule="auto"/>
        <w:rPr>
          <w:rFonts w:ascii="宋体" w:hAnsi="宋体"/>
          <w:color w:val="auto"/>
          <w:sz w:val="24"/>
          <w:szCs w:val="24"/>
        </w:rPr>
      </w:pPr>
    </w:p>
    <w:p w14:paraId="4DFA81B6">
      <w:pPr>
        <w:pStyle w:val="48"/>
        <w:spacing w:line="360" w:lineRule="auto"/>
        <w:rPr>
          <w:rFonts w:ascii="宋体" w:hAnsi="宋体"/>
          <w:color w:val="auto"/>
          <w:sz w:val="24"/>
          <w:szCs w:val="24"/>
        </w:rPr>
      </w:pPr>
    </w:p>
    <w:p w14:paraId="7C101EC3">
      <w:pPr>
        <w:pStyle w:val="48"/>
        <w:spacing w:line="360" w:lineRule="auto"/>
        <w:rPr>
          <w:rFonts w:ascii="宋体" w:hAnsi="宋体"/>
          <w:color w:val="auto"/>
          <w:sz w:val="24"/>
          <w:szCs w:val="24"/>
        </w:rPr>
      </w:pPr>
    </w:p>
    <w:p w14:paraId="022B17E7">
      <w:pPr>
        <w:pStyle w:val="3"/>
        <w:keepNext/>
        <w:keepLines/>
        <w:pageBreakBefore w:val="0"/>
        <w:widowControl w:val="0"/>
        <w:numPr>
          <w:ilvl w:val="0"/>
          <w:numId w:val="0"/>
        </w:numPr>
        <w:tabs>
          <w:tab w:val="clear" w:pos="900"/>
        </w:tabs>
        <w:kinsoku/>
        <w:wordWrap/>
        <w:overflowPunct/>
        <w:topLinePunct w:val="0"/>
        <w:autoSpaceDE/>
        <w:autoSpaceDN/>
        <w:bidi w:val="0"/>
        <w:adjustRightInd/>
        <w:snapToGrid/>
        <w:spacing w:before="0" w:after="0" w:line="360" w:lineRule="auto"/>
        <w:ind w:left="901" w:leftChars="0" w:hanging="420" w:firstLineChars="0"/>
        <w:jc w:val="center"/>
        <w:textAlignment w:val="auto"/>
        <w:outlineLvl w:val="0"/>
        <w:rPr>
          <w:rFonts w:hint="eastAsia" w:ascii="宋体" w:hAnsi="宋体" w:eastAsia="宋体" w:cs="宋体"/>
          <w:color w:val="auto"/>
          <w:sz w:val="36"/>
          <w:szCs w:val="36"/>
        </w:rPr>
      </w:pPr>
      <w:bookmarkStart w:id="171" w:name="_Toc161736639"/>
      <w:bookmarkStart w:id="172" w:name="_Toc6243"/>
      <w:r>
        <w:rPr>
          <w:rFonts w:hint="eastAsia" w:ascii="宋体" w:hAnsi="宋体" w:eastAsia="宋体" w:cs="宋体"/>
          <w:color w:val="auto"/>
          <w:sz w:val="36"/>
          <w:szCs w:val="36"/>
        </w:rPr>
        <w:t>第五章  响应文件格式</w:t>
      </w:r>
      <w:bookmarkEnd w:id="171"/>
      <w:bookmarkEnd w:id="172"/>
    </w:p>
    <w:p w14:paraId="3E5987D8">
      <w:pPr>
        <w:pStyle w:val="42"/>
        <w:spacing w:line="360" w:lineRule="auto"/>
        <w:rPr>
          <w:rFonts w:hint="eastAsia" w:hAnsi="宋体"/>
          <w:color w:val="auto"/>
        </w:rPr>
      </w:pPr>
    </w:p>
    <w:p w14:paraId="284D6CEF">
      <w:pPr>
        <w:pStyle w:val="42"/>
        <w:spacing w:line="360" w:lineRule="auto"/>
        <w:rPr>
          <w:rFonts w:hint="eastAsia" w:hAnsi="宋体"/>
          <w:color w:val="auto"/>
        </w:rPr>
      </w:pPr>
      <w:r>
        <w:rPr>
          <w:rFonts w:hint="eastAsia" w:hAnsi="宋体"/>
          <w:color w:val="auto"/>
        </w:rPr>
        <w:t xml:space="preserve">  </w:t>
      </w:r>
    </w:p>
    <w:tbl>
      <w:tblPr>
        <w:tblStyle w:val="31"/>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6"/>
      </w:tblGrid>
      <w:tr w14:paraId="79F2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106" w:type="dxa"/>
          </w:tcPr>
          <w:p w14:paraId="389E2D13">
            <w:pPr>
              <w:spacing w:before="120" w:line="360" w:lineRule="auto"/>
              <w:rPr>
                <w:rFonts w:hint="eastAsia" w:ascii="宋体" w:hAnsi="宋体"/>
                <w:color w:val="auto"/>
                <w:sz w:val="24"/>
              </w:rPr>
            </w:pPr>
            <w:r>
              <w:rPr>
                <w:rFonts w:hint="eastAsia" w:ascii="宋体" w:hAnsi="宋体"/>
                <w:color w:val="auto"/>
                <w:sz w:val="24"/>
              </w:rPr>
              <w:t>注释：</w:t>
            </w:r>
            <w:r>
              <w:rPr>
                <w:rFonts w:ascii="宋体" w:hAnsi="宋体"/>
                <w:color w:val="auto"/>
                <w:sz w:val="24"/>
              </w:rPr>
              <w:t xml:space="preserve"> </w:t>
            </w:r>
          </w:p>
          <w:p w14:paraId="38562115">
            <w:pPr>
              <w:spacing w:before="120" w:line="360" w:lineRule="auto"/>
              <w:ind w:firstLine="480" w:firstLineChars="200"/>
              <w:rPr>
                <w:rFonts w:hint="eastAsia" w:ascii="宋体" w:hAnsi="宋体"/>
                <w:color w:val="auto"/>
                <w:sz w:val="24"/>
              </w:rPr>
            </w:pPr>
            <w:r>
              <w:rPr>
                <w:rFonts w:hint="eastAsia" w:ascii="宋体" w:hAnsi="宋体"/>
                <w:color w:val="auto"/>
                <w:sz w:val="24"/>
              </w:rPr>
              <w:t>《响应文件格式》是供应商的部分响应文件格式，供应商应参照这些格式文件制作响应文件；磋商文件要求供应商提供，而未提供格式文件的，请供应商根据行业特点进行制作并提交，但不得实质性修改响应文件格式。</w:t>
            </w:r>
          </w:p>
        </w:tc>
      </w:tr>
    </w:tbl>
    <w:p w14:paraId="7EC11327">
      <w:pPr>
        <w:pStyle w:val="42"/>
        <w:spacing w:line="360" w:lineRule="auto"/>
        <w:rPr>
          <w:rFonts w:hint="eastAsia" w:hAnsi="宋体"/>
          <w:color w:val="auto"/>
          <w:sz w:val="20"/>
        </w:rPr>
      </w:pPr>
    </w:p>
    <w:p w14:paraId="2BF88560">
      <w:pPr>
        <w:pStyle w:val="6"/>
        <w:snapToGrid w:val="0"/>
        <w:spacing w:line="360" w:lineRule="auto"/>
        <w:ind w:firstLine="723"/>
        <w:jc w:val="center"/>
        <w:rPr>
          <w:rFonts w:hint="eastAsia" w:ascii="宋体" w:hAnsi="宋体"/>
          <w:b/>
          <w:bCs/>
          <w:color w:val="auto"/>
          <w:sz w:val="36"/>
        </w:rPr>
      </w:pPr>
    </w:p>
    <w:p w14:paraId="27508EF5">
      <w:pPr>
        <w:pStyle w:val="6"/>
        <w:snapToGrid w:val="0"/>
        <w:spacing w:line="360" w:lineRule="auto"/>
        <w:ind w:firstLine="723"/>
        <w:jc w:val="center"/>
        <w:rPr>
          <w:rFonts w:hint="eastAsia" w:ascii="宋体" w:hAnsi="宋体"/>
          <w:b/>
          <w:bCs/>
          <w:color w:val="auto"/>
          <w:sz w:val="36"/>
        </w:rPr>
      </w:pPr>
    </w:p>
    <w:p w14:paraId="1DDF42FF">
      <w:pPr>
        <w:pStyle w:val="6"/>
        <w:snapToGrid w:val="0"/>
        <w:spacing w:line="360" w:lineRule="auto"/>
        <w:ind w:firstLine="723"/>
        <w:jc w:val="center"/>
        <w:rPr>
          <w:rFonts w:hint="eastAsia" w:ascii="宋体" w:hAnsi="宋体"/>
          <w:b/>
          <w:bCs/>
          <w:color w:val="auto"/>
          <w:sz w:val="36"/>
        </w:rPr>
      </w:pPr>
    </w:p>
    <w:p w14:paraId="5D600746">
      <w:pPr>
        <w:pStyle w:val="6"/>
        <w:snapToGrid w:val="0"/>
        <w:spacing w:line="360" w:lineRule="auto"/>
        <w:ind w:firstLine="723"/>
        <w:jc w:val="center"/>
        <w:rPr>
          <w:rFonts w:hint="eastAsia" w:ascii="宋体" w:hAnsi="宋体"/>
          <w:b/>
          <w:bCs/>
          <w:color w:val="auto"/>
          <w:sz w:val="36"/>
        </w:rPr>
      </w:pPr>
    </w:p>
    <w:p w14:paraId="4BC7CB27">
      <w:pPr>
        <w:pStyle w:val="6"/>
        <w:snapToGrid w:val="0"/>
        <w:spacing w:line="360" w:lineRule="auto"/>
        <w:ind w:firstLine="723"/>
        <w:jc w:val="center"/>
        <w:rPr>
          <w:rFonts w:hint="eastAsia" w:ascii="宋体" w:hAnsi="宋体"/>
          <w:b/>
          <w:bCs/>
          <w:color w:val="auto"/>
          <w:sz w:val="36"/>
        </w:rPr>
      </w:pPr>
    </w:p>
    <w:p w14:paraId="3E863E05">
      <w:pPr>
        <w:pStyle w:val="6"/>
        <w:snapToGrid w:val="0"/>
        <w:spacing w:line="360" w:lineRule="auto"/>
        <w:ind w:firstLine="723"/>
        <w:jc w:val="center"/>
        <w:rPr>
          <w:rFonts w:hint="eastAsia" w:ascii="宋体" w:hAnsi="宋体"/>
          <w:b/>
          <w:bCs/>
          <w:color w:val="auto"/>
          <w:sz w:val="36"/>
        </w:rPr>
      </w:pPr>
    </w:p>
    <w:p w14:paraId="0C67DE20">
      <w:pPr>
        <w:pStyle w:val="6"/>
        <w:snapToGrid w:val="0"/>
        <w:spacing w:line="360" w:lineRule="auto"/>
        <w:ind w:firstLine="723"/>
        <w:jc w:val="center"/>
        <w:rPr>
          <w:rFonts w:hint="eastAsia" w:ascii="宋体" w:hAnsi="宋体"/>
          <w:b/>
          <w:bCs/>
          <w:color w:val="auto"/>
          <w:sz w:val="36"/>
        </w:rPr>
      </w:pPr>
    </w:p>
    <w:p w14:paraId="48EEE7D4">
      <w:pPr>
        <w:pStyle w:val="6"/>
        <w:snapToGrid w:val="0"/>
        <w:spacing w:line="360" w:lineRule="auto"/>
        <w:ind w:firstLine="723"/>
        <w:jc w:val="center"/>
        <w:rPr>
          <w:rFonts w:hint="eastAsia" w:ascii="宋体" w:hAnsi="宋体"/>
          <w:b/>
          <w:bCs/>
          <w:color w:val="auto"/>
          <w:sz w:val="36"/>
        </w:rPr>
      </w:pPr>
    </w:p>
    <w:p w14:paraId="2869158F">
      <w:pPr>
        <w:pStyle w:val="6"/>
        <w:snapToGrid w:val="0"/>
        <w:spacing w:line="360" w:lineRule="auto"/>
        <w:ind w:firstLine="723"/>
        <w:jc w:val="center"/>
        <w:rPr>
          <w:rFonts w:hint="eastAsia" w:ascii="宋体" w:hAnsi="宋体"/>
          <w:b/>
          <w:bCs/>
          <w:color w:val="auto"/>
          <w:sz w:val="36"/>
        </w:rPr>
      </w:pPr>
    </w:p>
    <w:p w14:paraId="11AA5BB8">
      <w:pPr>
        <w:pStyle w:val="6"/>
        <w:snapToGrid w:val="0"/>
        <w:spacing w:line="360" w:lineRule="auto"/>
        <w:ind w:firstLine="723"/>
        <w:jc w:val="center"/>
        <w:rPr>
          <w:rFonts w:hint="eastAsia" w:ascii="宋体" w:hAnsi="宋体"/>
          <w:b/>
          <w:bCs/>
          <w:color w:val="auto"/>
          <w:sz w:val="36"/>
        </w:rPr>
      </w:pPr>
    </w:p>
    <w:p w14:paraId="297652B8">
      <w:pPr>
        <w:pStyle w:val="6"/>
        <w:snapToGrid w:val="0"/>
        <w:spacing w:line="360" w:lineRule="auto"/>
        <w:ind w:firstLine="723"/>
        <w:jc w:val="center"/>
        <w:rPr>
          <w:rFonts w:hint="eastAsia" w:ascii="宋体" w:hAnsi="宋体"/>
          <w:b/>
          <w:bCs/>
          <w:color w:val="auto"/>
          <w:sz w:val="36"/>
        </w:rPr>
      </w:pPr>
    </w:p>
    <w:p w14:paraId="77405108">
      <w:pPr>
        <w:spacing w:line="360" w:lineRule="auto"/>
        <w:jc w:val="center"/>
        <w:rPr>
          <w:rFonts w:hint="eastAsia" w:ascii="宋体" w:hAnsi="宋体"/>
          <w:b/>
          <w:color w:val="auto"/>
          <w:sz w:val="72"/>
        </w:rPr>
      </w:pPr>
    </w:p>
    <w:p w14:paraId="764E5454">
      <w:pPr>
        <w:spacing w:line="360" w:lineRule="auto"/>
        <w:jc w:val="center"/>
        <w:rPr>
          <w:rFonts w:hint="eastAsia" w:ascii="宋体" w:hAnsi="宋体"/>
          <w:b/>
          <w:color w:val="auto"/>
          <w:sz w:val="72"/>
        </w:rPr>
      </w:pPr>
    </w:p>
    <w:p w14:paraId="7D91261F">
      <w:pPr>
        <w:spacing w:line="360" w:lineRule="auto"/>
        <w:jc w:val="center"/>
        <w:rPr>
          <w:rFonts w:hint="eastAsia" w:ascii="宋体" w:hAnsi="宋体"/>
          <w:b/>
          <w:color w:val="auto"/>
          <w:sz w:val="72"/>
        </w:rPr>
      </w:pPr>
      <w:r>
        <w:rPr>
          <w:rFonts w:hint="eastAsia" w:ascii="宋体" w:hAnsi="宋体"/>
          <w:b/>
          <w:color w:val="auto"/>
          <w:sz w:val="72"/>
        </w:rPr>
        <w:t>响  应  文  件</w:t>
      </w:r>
    </w:p>
    <w:p w14:paraId="15BEECE0">
      <w:pPr>
        <w:spacing w:line="360" w:lineRule="auto"/>
        <w:jc w:val="center"/>
        <w:rPr>
          <w:rFonts w:hint="eastAsia" w:ascii="宋体" w:hAnsi="宋体"/>
          <w:b/>
          <w:color w:val="auto"/>
          <w:sz w:val="36"/>
        </w:rPr>
      </w:pPr>
    </w:p>
    <w:p w14:paraId="097687DA">
      <w:pPr>
        <w:spacing w:line="360" w:lineRule="auto"/>
        <w:jc w:val="center"/>
        <w:rPr>
          <w:rFonts w:hint="eastAsia" w:ascii="宋体" w:hAnsi="宋体"/>
          <w:b/>
          <w:color w:val="auto"/>
          <w:sz w:val="36"/>
        </w:rPr>
      </w:pPr>
    </w:p>
    <w:p w14:paraId="6958EB6E">
      <w:pPr>
        <w:spacing w:line="360" w:lineRule="auto"/>
        <w:ind w:firstLine="1619" w:firstLineChars="448"/>
        <w:rPr>
          <w:rFonts w:hint="eastAsia" w:ascii="宋体" w:hAnsi="宋体"/>
          <w:b/>
          <w:color w:val="auto"/>
          <w:sz w:val="36"/>
        </w:rPr>
      </w:pPr>
      <w:r>
        <w:rPr>
          <w:rFonts w:hint="eastAsia" w:ascii="宋体" w:hAnsi="宋体"/>
          <w:b/>
          <w:color w:val="auto"/>
          <w:sz w:val="36"/>
        </w:rPr>
        <w:t>项 目 名 称：</w:t>
      </w:r>
    </w:p>
    <w:p w14:paraId="241CA9C8">
      <w:pPr>
        <w:spacing w:line="360" w:lineRule="auto"/>
        <w:ind w:firstLine="1619" w:firstLineChars="448"/>
        <w:rPr>
          <w:rFonts w:hint="eastAsia" w:ascii="宋体" w:hAnsi="宋体"/>
          <w:b/>
          <w:color w:val="auto"/>
          <w:sz w:val="36"/>
        </w:rPr>
      </w:pPr>
      <w:r>
        <w:rPr>
          <w:rFonts w:hint="eastAsia" w:ascii="宋体" w:hAnsi="宋体"/>
          <w:b/>
          <w:color w:val="auto"/>
          <w:sz w:val="36"/>
        </w:rPr>
        <w:t>项 目 编 号：</w:t>
      </w:r>
    </w:p>
    <w:p w14:paraId="15385375">
      <w:pPr>
        <w:spacing w:line="360" w:lineRule="auto"/>
        <w:ind w:firstLine="1619" w:firstLineChars="448"/>
        <w:rPr>
          <w:rFonts w:hint="eastAsia" w:ascii="宋体" w:hAnsi="宋体"/>
          <w:b/>
          <w:color w:val="auto"/>
          <w:sz w:val="36"/>
        </w:rPr>
      </w:pPr>
      <w:r>
        <w:rPr>
          <w:rFonts w:hint="eastAsia" w:ascii="宋体" w:hAnsi="宋体"/>
          <w:b/>
          <w:color w:val="auto"/>
          <w:sz w:val="36"/>
        </w:rPr>
        <w:t>合 同 包 号：</w:t>
      </w:r>
    </w:p>
    <w:p w14:paraId="7CFCA3D1">
      <w:pPr>
        <w:spacing w:line="360" w:lineRule="auto"/>
        <w:rPr>
          <w:rFonts w:hint="eastAsia" w:ascii="宋体" w:hAnsi="宋体"/>
          <w:color w:val="auto"/>
          <w:sz w:val="28"/>
          <w:szCs w:val="28"/>
        </w:rPr>
      </w:pPr>
    </w:p>
    <w:p w14:paraId="01CDF037">
      <w:pPr>
        <w:spacing w:line="360" w:lineRule="auto"/>
        <w:rPr>
          <w:rFonts w:hint="eastAsia" w:ascii="宋体" w:hAnsi="宋体"/>
          <w:color w:val="auto"/>
          <w:sz w:val="28"/>
          <w:szCs w:val="28"/>
        </w:rPr>
      </w:pPr>
    </w:p>
    <w:p w14:paraId="7CE4DA7E">
      <w:pPr>
        <w:spacing w:line="360" w:lineRule="auto"/>
        <w:rPr>
          <w:rFonts w:hint="eastAsia" w:ascii="宋体" w:hAnsi="宋体"/>
          <w:b/>
          <w:color w:val="auto"/>
          <w:sz w:val="36"/>
        </w:rPr>
      </w:pPr>
    </w:p>
    <w:p w14:paraId="5A711237">
      <w:pPr>
        <w:spacing w:line="480" w:lineRule="auto"/>
        <w:rPr>
          <w:rFonts w:hint="eastAsia" w:ascii="宋体" w:hAnsi="宋体"/>
          <w:color w:val="auto"/>
          <w:sz w:val="28"/>
          <w:szCs w:val="28"/>
          <w:u w:val="single"/>
        </w:rPr>
      </w:pPr>
      <w:r>
        <w:rPr>
          <w:rFonts w:hint="eastAsia" w:ascii="宋体" w:hAnsi="宋体"/>
          <w:b/>
          <w:color w:val="auto"/>
          <w:sz w:val="36"/>
        </w:rPr>
        <w:t xml:space="preserve">  </w:t>
      </w:r>
      <w:r>
        <w:rPr>
          <w:rFonts w:hint="eastAsia" w:ascii="宋体" w:hAnsi="宋体"/>
          <w:color w:val="auto"/>
          <w:sz w:val="28"/>
          <w:szCs w:val="28"/>
        </w:rPr>
        <w:t>供应商名称（加盖公章）：</w:t>
      </w:r>
      <w:r>
        <w:rPr>
          <w:rFonts w:hint="eastAsia" w:ascii="宋体" w:hAnsi="宋体"/>
          <w:color w:val="auto"/>
          <w:sz w:val="28"/>
          <w:szCs w:val="28"/>
          <w:u w:val="single"/>
        </w:rPr>
        <w:t xml:space="preserve">                       </w:t>
      </w:r>
    </w:p>
    <w:p w14:paraId="7FE296FF">
      <w:pPr>
        <w:spacing w:line="480" w:lineRule="auto"/>
        <w:ind w:firstLine="420" w:firstLineChars="150"/>
        <w:rPr>
          <w:rFonts w:hint="eastAsia" w:ascii="宋体" w:hAnsi="宋体"/>
          <w:color w:val="auto"/>
          <w:sz w:val="28"/>
          <w:szCs w:val="28"/>
        </w:rPr>
      </w:pPr>
      <w:r>
        <w:rPr>
          <w:rFonts w:hint="eastAsia" w:ascii="宋体" w:hAnsi="宋体"/>
          <w:color w:val="auto"/>
          <w:sz w:val="28"/>
          <w:szCs w:val="28"/>
        </w:rPr>
        <w:t xml:space="preserve">公司地址： </w:t>
      </w:r>
      <w:r>
        <w:rPr>
          <w:rFonts w:hint="eastAsia" w:ascii="宋体" w:hAnsi="宋体"/>
          <w:color w:val="auto"/>
          <w:sz w:val="28"/>
          <w:szCs w:val="28"/>
          <w:u w:val="single"/>
        </w:rPr>
        <w:t xml:space="preserve">                      </w:t>
      </w:r>
      <w:r>
        <w:rPr>
          <w:rFonts w:hint="eastAsia" w:ascii="宋体" w:hAnsi="宋体"/>
          <w:color w:val="auto"/>
          <w:sz w:val="28"/>
          <w:szCs w:val="28"/>
        </w:rPr>
        <w:t xml:space="preserve">      </w:t>
      </w:r>
    </w:p>
    <w:p w14:paraId="0A405951">
      <w:pPr>
        <w:spacing w:line="480" w:lineRule="auto"/>
        <w:ind w:firstLine="420" w:firstLineChars="150"/>
        <w:rPr>
          <w:rFonts w:hint="eastAsia" w:ascii="宋体" w:hAnsi="宋体"/>
          <w:color w:val="auto"/>
          <w:sz w:val="28"/>
          <w:szCs w:val="28"/>
          <w:u w:val="single"/>
        </w:rPr>
      </w:pPr>
      <w:r>
        <w:rPr>
          <w:rFonts w:hint="eastAsia" w:ascii="宋体" w:hAnsi="宋体"/>
          <w:color w:val="auto"/>
          <w:sz w:val="28"/>
          <w:szCs w:val="28"/>
        </w:rPr>
        <w:t xml:space="preserve">公司电话： </w:t>
      </w:r>
      <w:r>
        <w:rPr>
          <w:rFonts w:hint="eastAsia" w:ascii="宋体" w:hAnsi="宋体"/>
          <w:color w:val="auto"/>
          <w:sz w:val="28"/>
          <w:szCs w:val="28"/>
          <w:u w:val="single"/>
        </w:rPr>
        <w:t xml:space="preserve">                </w:t>
      </w:r>
      <w:r>
        <w:rPr>
          <w:rFonts w:hint="eastAsia" w:ascii="宋体" w:hAnsi="宋体"/>
          <w:color w:val="auto"/>
          <w:sz w:val="28"/>
          <w:szCs w:val="28"/>
        </w:rPr>
        <w:t xml:space="preserve">    电子邮箱： </w:t>
      </w:r>
      <w:r>
        <w:rPr>
          <w:rFonts w:hint="eastAsia" w:ascii="宋体" w:hAnsi="宋体"/>
          <w:color w:val="auto"/>
          <w:sz w:val="28"/>
          <w:szCs w:val="28"/>
          <w:u w:val="single"/>
        </w:rPr>
        <w:t xml:space="preserve">                 </w:t>
      </w:r>
    </w:p>
    <w:p w14:paraId="5C7E901C">
      <w:pPr>
        <w:spacing w:line="480" w:lineRule="auto"/>
        <w:ind w:firstLine="420" w:firstLineChars="150"/>
        <w:rPr>
          <w:rFonts w:hint="eastAsia" w:ascii="宋体" w:hAnsi="宋体"/>
          <w:color w:val="auto"/>
          <w:sz w:val="28"/>
          <w:szCs w:val="28"/>
          <w:u w:val="single"/>
        </w:rPr>
      </w:pPr>
      <w:r>
        <w:rPr>
          <w:rFonts w:hint="eastAsia" w:ascii="宋体" w:hAnsi="宋体"/>
          <w:color w:val="auto"/>
          <w:sz w:val="28"/>
          <w:szCs w:val="28"/>
        </w:rPr>
        <w:t xml:space="preserve">供应商代表姓名（印刷体）： </w:t>
      </w:r>
      <w:r>
        <w:rPr>
          <w:rFonts w:hint="eastAsia" w:ascii="宋体" w:hAnsi="宋体"/>
          <w:color w:val="auto"/>
          <w:sz w:val="28"/>
          <w:szCs w:val="28"/>
          <w:u w:val="single"/>
        </w:rPr>
        <w:t xml:space="preserve">               </w:t>
      </w:r>
    </w:p>
    <w:p w14:paraId="4EA508EC">
      <w:pPr>
        <w:spacing w:line="480" w:lineRule="auto"/>
        <w:ind w:firstLine="420" w:firstLineChars="150"/>
        <w:rPr>
          <w:rFonts w:hint="eastAsia" w:ascii="宋体" w:hAnsi="宋体"/>
          <w:color w:val="auto"/>
          <w:sz w:val="28"/>
          <w:szCs w:val="28"/>
          <w:u w:val="single"/>
        </w:rPr>
      </w:pPr>
      <w:r>
        <w:rPr>
          <w:rFonts w:hint="eastAsia" w:ascii="宋体" w:hAnsi="宋体"/>
          <w:color w:val="auto"/>
          <w:sz w:val="28"/>
          <w:szCs w:val="28"/>
        </w:rPr>
        <w:t xml:space="preserve">供应商代表手机： </w:t>
      </w:r>
      <w:r>
        <w:rPr>
          <w:rFonts w:hint="eastAsia" w:ascii="宋体" w:hAnsi="宋体"/>
          <w:color w:val="auto"/>
          <w:sz w:val="28"/>
          <w:szCs w:val="28"/>
          <w:u w:val="single"/>
        </w:rPr>
        <w:t xml:space="preserve">                         </w:t>
      </w:r>
      <w:r>
        <w:rPr>
          <w:rFonts w:hint="eastAsia" w:ascii="宋体" w:hAnsi="宋体"/>
          <w:color w:val="auto"/>
          <w:sz w:val="28"/>
          <w:szCs w:val="28"/>
        </w:rPr>
        <w:t xml:space="preserve"> </w:t>
      </w:r>
    </w:p>
    <w:p w14:paraId="48854B95">
      <w:pPr>
        <w:spacing w:line="480" w:lineRule="auto"/>
        <w:ind w:firstLine="420" w:firstLineChars="150"/>
        <w:rPr>
          <w:rFonts w:hint="eastAsia" w:ascii="宋体" w:hAnsi="宋体"/>
          <w:b/>
          <w:color w:val="auto"/>
          <w:sz w:val="28"/>
          <w:szCs w:val="28"/>
        </w:rPr>
      </w:pPr>
      <w:r>
        <w:rPr>
          <w:rFonts w:hint="eastAsia" w:ascii="宋体" w:hAnsi="宋体"/>
          <w:color w:val="auto"/>
          <w:sz w:val="28"/>
          <w:szCs w:val="28"/>
        </w:rPr>
        <w:t xml:space="preserve">日  期： </w:t>
      </w:r>
      <w:r>
        <w:rPr>
          <w:rFonts w:hint="eastAsia" w:ascii="宋体" w:hAnsi="宋体"/>
          <w:color w:val="auto"/>
          <w:sz w:val="28"/>
          <w:szCs w:val="28"/>
          <w:u w:val="single"/>
        </w:rPr>
        <w:t xml:space="preserve">      </w:t>
      </w:r>
      <w:r>
        <w:rPr>
          <w:rFonts w:hint="eastAsia" w:ascii="宋体" w:hAnsi="宋体"/>
          <w:color w:val="auto"/>
          <w:sz w:val="28"/>
          <w:szCs w:val="28"/>
        </w:rPr>
        <w:t xml:space="preserve">年 </w:t>
      </w:r>
      <w:r>
        <w:rPr>
          <w:rFonts w:hint="eastAsia" w:ascii="宋体" w:hAnsi="宋体"/>
          <w:color w:val="auto"/>
          <w:sz w:val="28"/>
          <w:szCs w:val="28"/>
          <w:u w:val="single"/>
        </w:rPr>
        <w:t xml:space="preserve">   </w:t>
      </w:r>
      <w:r>
        <w:rPr>
          <w:rFonts w:hint="eastAsia" w:ascii="宋体" w:hAnsi="宋体"/>
          <w:color w:val="auto"/>
          <w:sz w:val="28"/>
          <w:szCs w:val="28"/>
        </w:rPr>
        <w:t xml:space="preserve">月 </w:t>
      </w:r>
      <w:r>
        <w:rPr>
          <w:rFonts w:hint="eastAsia" w:ascii="宋体" w:hAnsi="宋体"/>
          <w:color w:val="auto"/>
          <w:sz w:val="28"/>
          <w:szCs w:val="28"/>
          <w:u w:val="single"/>
        </w:rPr>
        <w:t xml:space="preserve">   </w:t>
      </w:r>
      <w:r>
        <w:rPr>
          <w:rFonts w:hint="eastAsia" w:ascii="宋体" w:hAnsi="宋体"/>
          <w:color w:val="auto"/>
          <w:sz w:val="28"/>
          <w:szCs w:val="28"/>
        </w:rPr>
        <w:t>日</w:t>
      </w:r>
    </w:p>
    <w:p w14:paraId="4F9D9862">
      <w:pPr>
        <w:pStyle w:val="26"/>
        <w:spacing w:before="75" w:beforeAutospacing="0" w:after="75" w:afterAutospacing="0"/>
        <w:jc w:val="center"/>
        <w:rPr>
          <w:color w:val="auto"/>
        </w:rPr>
      </w:pPr>
      <w:r>
        <w:rPr>
          <w:color w:val="auto"/>
          <w:sz w:val="30"/>
          <w:szCs w:val="30"/>
        </w:rPr>
        <w:br w:type="page"/>
      </w:r>
      <w:r>
        <w:rPr>
          <w:rStyle w:val="34"/>
          <w:rFonts w:hint="eastAsia"/>
          <w:color w:val="auto"/>
          <w:sz w:val="36"/>
          <w:szCs w:val="36"/>
        </w:rPr>
        <w:t>目  录</w:t>
      </w:r>
    </w:p>
    <w:p w14:paraId="6533153A">
      <w:pPr>
        <w:pStyle w:val="26"/>
        <w:spacing w:before="75" w:beforeAutospacing="0" w:after="75" w:afterAutospacing="0" w:line="465" w:lineRule="atLeast"/>
        <w:rPr>
          <w:color w:val="auto"/>
        </w:rPr>
      </w:pPr>
      <w:r>
        <w:rPr>
          <w:color w:val="auto"/>
        </w:rPr>
        <w:t> </w:t>
      </w:r>
      <w:r>
        <w:rPr>
          <w:rFonts w:hint="eastAsia"/>
          <w:color w:val="auto"/>
        </w:rPr>
        <w:t>（提醒：供应商应根据其响应文件内容详细编制，并列明对应页码，以便磋商小组能够准确无误的进行评审，否则有可能造成不利于供应商的评审。）</w:t>
      </w:r>
    </w:p>
    <w:p w14:paraId="31F8D121">
      <w:pPr>
        <w:pStyle w:val="26"/>
        <w:spacing w:before="75" w:beforeAutospacing="0" w:after="75" w:afterAutospacing="0" w:line="465" w:lineRule="atLeast"/>
        <w:rPr>
          <w:color w:val="auto"/>
        </w:rPr>
      </w:pPr>
      <w:r>
        <w:rPr>
          <w:rFonts w:hint="eastAsia"/>
          <w:color w:val="auto"/>
        </w:rPr>
        <w:t>附件1：响应函</w:t>
      </w:r>
      <w:r>
        <w:rPr>
          <w:color w:val="auto"/>
        </w:rPr>
        <w:t>………………………………………………………………………</w:t>
      </w:r>
    </w:p>
    <w:p w14:paraId="37D2C06B">
      <w:pPr>
        <w:pStyle w:val="26"/>
        <w:spacing w:before="75" w:beforeAutospacing="0" w:after="75" w:afterAutospacing="0" w:line="465" w:lineRule="atLeast"/>
        <w:rPr>
          <w:color w:val="auto"/>
        </w:rPr>
      </w:pPr>
      <w:r>
        <w:rPr>
          <w:rFonts w:hint="eastAsia"/>
          <w:color w:val="auto"/>
        </w:rPr>
        <w:t>附件2：报价一览表（含详细报价书）</w:t>
      </w:r>
      <w:r>
        <w:rPr>
          <w:color w:val="auto"/>
        </w:rPr>
        <w:t>………………………………………………</w:t>
      </w:r>
    </w:p>
    <w:p w14:paraId="19035C14">
      <w:pPr>
        <w:pStyle w:val="26"/>
        <w:spacing w:before="75" w:beforeAutospacing="0" w:after="75" w:afterAutospacing="0" w:line="465" w:lineRule="atLeast"/>
        <w:rPr>
          <w:b/>
          <w:color w:val="auto"/>
        </w:rPr>
      </w:pPr>
      <w:r>
        <w:rPr>
          <w:rFonts w:hint="eastAsia"/>
          <w:b/>
          <w:color w:val="auto"/>
        </w:rPr>
        <w:t>附件3：资格证明文件</w:t>
      </w:r>
      <w:r>
        <w:rPr>
          <w:b/>
          <w:color w:val="auto"/>
        </w:rPr>
        <w:t>………………………………………………………………</w:t>
      </w:r>
    </w:p>
    <w:p w14:paraId="1AD9E760">
      <w:pPr>
        <w:pStyle w:val="26"/>
        <w:spacing w:before="75" w:beforeAutospacing="0" w:after="75" w:afterAutospacing="0" w:line="465" w:lineRule="atLeast"/>
        <w:rPr>
          <w:color w:val="auto"/>
        </w:rPr>
      </w:pPr>
      <w:r>
        <w:rPr>
          <w:rFonts w:hint="eastAsia"/>
          <w:color w:val="auto"/>
        </w:rPr>
        <w:t>附件4：退回保证金说明函</w:t>
      </w:r>
      <w:r>
        <w:rPr>
          <w:color w:val="auto"/>
        </w:rPr>
        <w:t>………………………………………………………</w:t>
      </w:r>
    </w:p>
    <w:p w14:paraId="7CA1DA50">
      <w:pPr>
        <w:pStyle w:val="26"/>
        <w:spacing w:before="75" w:beforeAutospacing="0" w:after="75" w:afterAutospacing="0" w:line="465" w:lineRule="atLeast"/>
        <w:rPr>
          <w:color w:val="auto"/>
        </w:rPr>
      </w:pPr>
      <w:r>
        <w:rPr>
          <w:rFonts w:hint="eastAsia"/>
          <w:color w:val="auto"/>
        </w:rPr>
        <w:t>附件5：技术和商务偏离表</w:t>
      </w:r>
      <w:r>
        <w:rPr>
          <w:color w:val="auto"/>
        </w:rPr>
        <w:t>…………………………………………………………</w:t>
      </w:r>
    </w:p>
    <w:p w14:paraId="6B4BAC9F">
      <w:pPr>
        <w:pStyle w:val="26"/>
        <w:spacing w:before="75" w:beforeAutospacing="0" w:after="75" w:afterAutospacing="0" w:line="465" w:lineRule="atLeast"/>
        <w:rPr>
          <w:color w:val="auto"/>
        </w:rPr>
      </w:pPr>
      <w:r>
        <w:rPr>
          <w:rFonts w:hint="eastAsia"/>
          <w:color w:val="auto"/>
        </w:rPr>
        <w:t>附件6：相关技术、商务、服务响应承诺及资料</w:t>
      </w:r>
      <w:r>
        <w:rPr>
          <w:color w:val="auto"/>
        </w:rPr>
        <w:t>…………………………………</w:t>
      </w:r>
    </w:p>
    <w:p w14:paraId="30842D45">
      <w:pPr>
        <w:pStyle w:val="26"/>
        <w:spacing w:before="75" w:beforeAutospacing="0" w:after="75" w:afterAutospacing="0" w:line="465" w:lineRule="atLeast"/>
        <w:rPr>
          <w:color w:val="auto"/>
        </w:rPr>
      </w:pPr>
      <w:r>
        <w:rPr>
          <w:rFonts w:hint="eastAsia"/>
          <w:color w:val="auto"/>
        </w:rPr>
        <w:t>附件7：供应商提交的其他资料</w:t>
      </w:r>
      <w:r>
        <w:rPr>
          <w:color w:val="auto"/>
        </w:rPr>
        <w:t>……………………………………………………</w:t>
      </w:r>
    </w:p>
    <w:p w14:paraId="4A345ADF">
      <w:pPr>
        <w:pStyle w:val="26"/>
        <w:spacing w:before="75" w:beforeAutospacing="0" w:after="75" w:afterAutospacing="0" w:line="465" w:lineRule="atLeast"/>
        <w:rPr>
          <w:color w:val="auto"/>
        </w:rPr>
      </w:pPr>
      <w:r>
        <w:rPr>
          <w:rFonts w:hint="eastAsia"/>
          <w:color w:val="auto"/>
        </w:rPr>
        <w:t>附件8：</w:t>
      </w:r>
      <w:r>
        <w:rPr>
          <w:rFonts w:hint="eastAsia"/>
          <w:b/>
          <w:color w:val="auto"/>
        </w:rPr>
        <w:t>资格及评分标准对照情况点对点应答表</w:t>
      </w:r>
      <w:r>
        <w:rPr>
          <w:color w:val="auto"/>
        </w:rPr>
        <w:t>…………………………………</w:t>
      </w:r>
    </w:p>
    <w:p w14:paraId="3F4A2267">
      <w:pPr>
        <w:pStyle w:val="26"/>
        <w:spacing w:before="75" w:beforeAutospacing="0" w:after="75" w:afterAutospacing="0" w:line="465" w:lineRule="atLeast"/>
        <w:rPr>
          <w:color w:val="auto"/>
        </w:rPr>
      </w:pPr>
      <w:r>
        <w:rPr>
          <w:rFonts w:hint="eastAsia"/>
          <w:color w:val="auto"/>
        </w:rPr>
        <w:t>附件9：要求作为响应文件组成部分的其他内容（若有）</w:t>
      </w:r>
      <w:r>
        <w:rPr>
          <w:color w:val="auto"/>
        </w:rPr>
        <w:t>…………………………</w:t>
      </w:r>
    </w:p>
    <w:p w14:paraId="0B133090">
      <w:pPr>
        <w:pStyle w:val="26"/>
        <w:spacing w:before="75" w:beforeAutospacing="0" w:after="75" w:afterAutospacing="0" w:line="495" w:lineRule="atLeast"/>
        <w:rPr>
          <w:color w:val="auto"/>
        </w:rPr>
      </w:pPr>
      <w:r>
        <w:rPr>
          <w:color w:val="auto"/>
        </w:rPr>
        <w:br w:type="page"/>
      </w:r>
      <w:r>
        <w:rPr>
          <w:rFonts w:hint="eastAsia"/>
          <w:color w:val="auto"/>
        </w:rPr>
        <w:t xml:space="preserve">附件1                </w:t>
      </w:r>
      <w:r>
        <w:rPr>
          <w:rStyle w:val="34"/>
          <w:rFonts w:hint="eastAsia"/>
          <w:color w:val="auto"/>
        </w:rPr>
        <w:t>磋商响应声明</w:t>
      </w:r>
    </w:p>
    <w:p w14:paraId="00395F9D">
      <w:pPr>
        <w:pStyle w:val="26"/>
        <w:spacing w:before="75" w:beforeAutospacing="0" w:after="75" w:afterAutospacing="0" w:line="435" w:lineRule="atLeast"/>
        <w:rPr>
          <w:color w:val="auto"/>
        </w:rPr>
      </w:pPr>
      <w:r>
        <w:rPr>
          <w:rFonts w:hint="eastAsia"/>
          <w:color w:val="auto"/>
        </w:rPr>
        <w:t> </w:t>
      </w:r>
    </w:p>
    <w:p w14:paraId="645C5085">
      <w:pPr>
        <w:pStyle w:val="26"/>
        <w:spacing w:before="75" w:beforeAutospacing="0" w:after="75" w:afterAutospacing="0" w:line="435" w:lineRule="atLeast"/>
        <w:rPr>
          <w:color w:val="auto"/>
        </w:rPr>
      </w:pPr>
      <w:r>
        <w:rPr>
          <w:rFonts w:hint="eastAsia"/>
          <w:color w:val="auto"/>
        </w:rPr>
        <w:t>致：</w:t>
      </w:r>
      <w:r>
        <w:rPr>
          <w:rFonts w:hint="eastAsia"/>
          <w:color w:val="auto"/>
          <w:u w:val="single"/>
        </w:rPr>
        <w:t>     (采购人或采购代理机构)       </w:t>
      </w:r>
    </w:p>
    <w:p w14:paraId="4501AAAA">
      <w:pPr>
        <w:pStyle w:val="26"/>
        <w:spacing w:before="75" w:beforeAutospacing="0" w:after="75" w:afterAutospacing="0" w:line="435" w:lineRule="atLeast"/>
        <w:rPr>
          <w:color w:val="auto"/>
        </w:rPr>
      </w:pPr>
      <w:r>
        <w:rPr>
          <w:rFonts w:hint="eastAsia"/>
          <w:color w:val="auto"/>
        </w:rPr>
        <w:t>1.根据贵方为</w:t>
      </w:r>
      <w:r>
        <w:rPr>
          <w:rFonts w:hint="eastAsia"/>
          <w:color w:val="auto"/>
          <w:u w:val="single"/>
        </w:rPr>
        <w:t>               </w:t>
      </w:r>
      <w:r>
        <w:rPr>
          <w:rFonts w:hint="eastAsia"/>
          <w:color w:val="auto"/>
        </w:rPr>
        <w:t>项目（项目编号：</w:t>
      </w:r>
      <w:r>
        <w:rPr>
          <w:rFonts w:hint="eastAsia"/>
          <w:color w:val="auto"/>
          <w:u w:val="single"/>
        </w:rPr>
        <w:t>      </w:t>
      </w:r>
      <w:r>
        <w:rPr>
          <w:rFonts w:hint="eastAsia"/>
          <w:color w:val="auto"/>
        </w:rPr>
        <w:t>）的采购公告（或采购邀请书），我方签字代表</w:t>
      </w:r>
      <w:r>
        <w:rPr>
          <w:rFonts w:hint="eastAsia"/>
          <w:color w:val="auto"/>
          <w:u w:val="single"/>
        </w:rPr>
        <w:t>          （全名、职务）   </w:t>
      </w:r>
      <w:r>
        <w:rPr>
          <w:rFonts w:hint="eastAsia"/>
          <w:color w:val="auto"/>
        </w:rPr>
        <w:t>经正式授权并代表的供应商</w:t>
      </w:r>
      <w:r>
        <w:rPr>
          <w:rFonts w:hint="eastAsia"/>
          <w:color w:val="auto"/>
          <w:u w:val="single"/>
        </w:rPr>
        <w:t>          （供应商名称、地址）    </w:t>
      </w:r>
      <w:r>
        <w:rPr>
          <w:rFonts w:hint="eastAsia"/>
          <w:color w:val="auto"/>
        </w:rPr>
        <w:t>提交包含下述内容的首次响应文件。</w:t>
      </w:r>
    </w:p>
    <w:p w14:paraId="74EAF9CF">
      <w:pPr>
        <w:pStyle w:val="26"/>
        <w:spacing w:before="75" w:beforeAutospacing="0" w:after="75" w:afterAutospacing="0" w:line="435" w:lineRule="atLeast"/>
        <w:ind w:firstLine="480"/>
        <w:rPr>
          <w:color w:val="auto"/>
        </w:rPr>
      </w:pPr>
      <w:r>
        <w:rPr>
          <w:rFonts w:hint="eastAsia"/>
          <w:color w:val="auto"/>
        </w:rPr>
        <w:t>（1）响应函</w:t>
      </w:r>
    </w:p>
    <w:p w14:paraId="5CE7EF53">
      <w:pPr>
        <w:pStyle w:val="26"/>
        <w:spacing w:before="75" w:beforeAutospacing="0" w:after="75" w:afterAutospacing="0" w:line="435" w:lineRule="atLeast"/>
        <w:ind w:firstLine="480"/>
        <w:rPr>
          <w:color w:val="auto"/>
        </w:rPr>
      </w:pPr>
      <w:r>
        <w:rPr>
          <w:rFonts w:hint="eastAsia"/>
          <w:color w:val="auto"/>
        </w:rPr>
        <w:t>（2）报价一览表（含详细报价书）</w:t>
      </w:r>
    </w:p>
    <w:p w14:paraId="1A8A5527">
      <w:pPr>
        <w:pStyle w:val="26"/>
        <w:spacing w:before="75" w:beforeAutospacing="0" w:after="75" w:afterAutospacing="0" w:line="435" w:lineRule="atLeast"/>
        <w:ind w:firstLine="480"/>
        <w:rPr>
          <w:color w:val="auto"/>
        </w:rPr>
      </w:pPr>
      <w:r>
        <w:rPr>
          <w:rFonts w:hint="eastAsia"/>
          <w:color w:val="auto"/>
        </w:rPr>
        <w:t>（3）资格证明文件</w:t>
      </w:r>
    </w:p>
    <w:p w14:paraId="1DAE1AF1">
      <w:pPr>
        <w:pStyle w:val="26"/>
        <w:spacing w:before="75" w:beforeAutospacing="0" w:after="75" w:afterAutospacing="0" w:line="435" w:lineRule="atLeast"/>
        <w:ind w:firstLine="480"/>
        <w:rPr>
          <w:color w:val="auto"/>
        </w:rPr>
      </w:pPr>
      <w:r>
        <w:rPr>
          <w:rFonts w:hint="eastAsia"/>
          <w:color w:val="auto"/>
        </w:rPr>
        <w:t>（4）退回保证金说明函</w:t>
      </w:r>
    </w:p>
    <w:p w14:paraId="4251BD1C">
      <w:pPr>
        <w:pStyle w:val="26"/>
        <w:spacing w:before="75" w:beforeAutospacing="0" w:after="75" w:afterAutospacing="0" w:line="435" w:lineRule="atLeast"/>
        <w:ind w:firstLine="480"/>
        <w:rPr>
          <w:color w:val="auto"/>
        </w:rPr>
      </w:pPr>
      <w:r>
        <w:rPr>
          <w:rFonts w:hint="eastAsia"/>
          <w:color w:val="auto"/>
        </w:rPr>
        <w:t>（5）技术和商务偏离表</w:t>
      </w:r>
    </w:p>
    <w:p w14:paraId="7AB524B1">
      <w:pPr>
        <w:pStyle w:val="26"/>
        <w:spacing w:before="75" w:beforeAutospacing="0" w:after="75" w:afterAutospacing="0" w:line="435" w:lineRule="atLeast"/>
        <w:ind w:firstLine="480"/>
        <w:rPr>
          <w:color w:val="auto"/>
        </w:rPr>
      </w:pPr>
      <w:r>
        <w:rPr>
          <w:rFonts w:hint="eastAsia"/>
          <w:color w:val="auto"/>
        </w:rPr>
        <w:t>（6）相关技术、商务、服务响应承诺及资料</w:t>
      </w:r>
    </w:p>
    <w:p w14:paraId="656FD8BD">
      <w:pPr>
        <w:pStyle w:val="26"/>
        <w:spacing w:before="75" w:beforeAutospacing="0" w:after="75" w:afterAutospacing="0" w:line="435" w:lineRule="atLeast"/>
        <w:ind w:firstLine="480"/>
        <w:rPr>
          <w:color w:val="auto"/>
        </w:rPr>
      </w:pPr>
      <w:r>
        <w:rPr>
          <w:rFonts w:hint="eastAsia"/>
          <w:color w:val="auto"/>
        </w:rPr>
        <w:t>（7）供应商提交的其他资料</w:t>
      </w:r>
    </w:p>
    <w:p w14:paraId="58CE4646">
      <w:pPr>
        <w:pStyle w:val="26"/>
        <w:spacing w:before="75" w:beforeAutospacing="0" w:after="75" w:afterAutospacing="0" w:line="435" w:lineRule="atLeast"/>
        <w:ind w:firstLine="480"/>
        <w:rPr>
          <w:color w:val="auto"/>
        </w:rPr>
      </w:pPr>
      <w:r>
        <w:rPr>
          <w:rFonts w:hint="eastAsia"/>
          <w:color w:val="auto"/>
        </w:rPr>
        <w:t>（8）按照磋商文件规定，要求作为响应文件组成部分的其他内容（若有）</w:t>
      </w:r>
    </w:p>
    <w:p w14:paraId="6C6B9465">
      <w:pPr>
        <w:pStyle w:val="26"/>
        <w:spacing w:before="75" w:beforeAutospacing="0" w:after="75" w:afterAutospacing="0" w:line="435" w:lineRule="atLeast"/>
        <w:rPr>
          <w:color w:val="auto"/>
        </w:rPr>
      </w:pPr>
      <w:r>
        <w:rPr>
          <w:rFonts w:hint="eastAsia"/>
          <w:color w:val="auto"/>
        </w:rPr>
        <w:t>2.据此函，我方宣布响应承诺如下：</w:t>
      </w:r>
    </w:p>
    <w:p w14:paraId="3EA2EED7">
      <w:pPr>
        <w:pStyle w:val="26"/>
        <w:spacing w:before="75" w:beforeAutospacing="0" w:after="75" w:afterAutospacing="0" w:line="435" w:lineRule="atLeast"/>
        <w:ind w:firstLine="480"/>
        <w:rPr>
          <w:color w:val="auto"/>
        </w:rPr>
      </w:pPr>
      <w:r>
        <w:rPr>
          <w:rFonts w:hint="eastAsia"/>
          <w:color w:val="auto"/>
        </w:rPr>
        <w:t>2.1</w:t>
      </w:r>
      <w:r>
        <w:rPr>
          <w:rFonts w:hint="eastAsia"/>
          <w:b/>
          <w:color w:val="auto"/>
        </w:rPr>
        <w:t>我方已详细审查全部竞争性磋商文件，包括澄清、修改、补充或更正文件（如有的话）和有关附件，我方完全熟悉和理解其中的要求、条款和条件，且无任何异议</w:t>
      </w:r>
      <w:r>
        <w:rPr>
          <w:rFonts w:hint="eastAsia"/>
          <w:color w:val="auto"/>
        </w:rPr>
        <w:t>。除了我方已在技术和商务偏离表中列出的负偏差和不响应外，我方承诺将按竞争性磋商文件的各项规定履行合同责任和义务。竞争性磋商文件及其附件资料如果有涉及应当保密的内容，我方将严格遵守规定，不将应当保密的内容泄密给第三方或另作它用，如有违反，采购人可依法追究我方的法律责任。</w:t>
      </w:r>
    </w:p>
    <w:p w14:paraId="0570748D">
      <w:pPr>
        <w:pStyle w:val="26"/>
        <w:spacing w:before="75" w:beforeAutospacing="0" w:after="75" w:afterAutospacing="0" w:line="435" w:lineRule="atLeast"/>
        <w:ind w:firstLine="480"/>
        <w:rPr>
          <w:color w:val="auto"/>
        </w:rPr>
      </w:pPr>
      <w:r>
        <w:rPr>
          <w:rFonts w:hint="eastAsia"/>
          <w:color w:val="auto"/>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并在规定的期限内与采购人签订合同。</w:t>
      </w:r>
    </w:p>
    <w:p w14:paraId="12615EB7">
      <w:pPr>
        <w:pStyle w:val="26"/>
        <w:spacing w:before="75" w:beforeAutospacing="0" w:after="75" w:afterAutospacing="0" w:line="435" w:lineRule="atLeast"/>
        <w:ind w:firstLine="480"/>
        <w:rPr>
          <w:color w:val="auto"/>
        </w:rPr>
      </w:pPr>
      <w:r>
        <w:rPr>
          <w:rFonts w:hint="eastAsia"/>
          <w:color w:val="auto"/>
        </w:rPr>
        <w:t>2.3我方承诺：递交的所有响应文件（包括首次响应文件、补充澄清、最后报价等响应文件）在竞争性磋商须知前附表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5C3D4476">
      <w:pPr>
        <w:pStyle w:val="26"/>
        <w:spacing w:before="75" w:beforeAutospacing="0" w:after="75" w:afterAutospacing="0" w:line="435" w:lineRule="atLeast"/>
        <w:ind w:firstLine="480"/>
        <w:rPr>
          <w:color w:val="auto"/>
        </w:rPr>
      </w:pPr>
      <w:r>
        <w:rPr>
          <w:rFonts w:hint="eastAsia"/>
          <w:color w:val="auto"/>
        </w:rPr>
        <w:t>2.4我方已经按照磋商文件要求提交磋商保证金。我方如果发生任何竞争性磋商文件中所述不予退还磋商保证金的情况，则我方的磋商保证金将被贵方不予退还，我方对此无异议。</w:t>
      </w:r>
    </w:p>
    <w:p w14:paraId="3F8EDF6E">
      <w:pPr>
        <w:pStyle w:val="26"/>
        <w:spacing w:before="75" w:beforeAutospacing="0" w:after="75" w:afterAutospacing="0" w:line="435" w:lineRule="atLeast"/>
        <w:ind w:firstLine="480"/>
        <w:rPr>
          <w:color w:val="auto"/>
        </w:rPr>
      </w:pPr>
      <w:r>
        <w:rPr>
          <w:rFonts w:hint="eastAsia"/>
          <w:color w:val="auto"/>
        </w:rPr>
        <w:t>2.5我方愿意向贵方提供任何与本项目磋商采购有关的数据或资料。若贵方需要，我方愿意提供我方作出的一切承诺的证明材料。</w:t>
      </w:r>
    </w:p>
    <w:p w14:paraId="624323F3">
      <w:pPr>
        <w:pStyle w:val="26"/>
        <w:spacing w:before="75" w:beforeAutospacing="0" w:after="75" w:afterAutospacing="0" w:line="435" w:lineRule="atLeast"/>
        <w:ind w:firstLine="480"/>
        <w:rPr>
          <w:color w:val="auto"/>
        </w:rPr>
      </w:pPr>
      <w:r>
        <w:rPr>
          <w:rFonts w:hint="eastAsia"/>
          <w:color w:val="auto"/>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1DD4546D">
      <w:pPr>
        <w:pStyle w:val="26"/>
        <w:spacing w:before="75" w:beforeAutospacing="0" w:after="75" w:afterAutospacing="0" w:line="435" w:lineRule="atLeast"/>
        <w:rPr>
          <w:color w:val="auto"/>
        </w:rPr>
      </w:pPr>
      <w:r>
        <w:rPr>
          <w:color w:val="auto"/>
        </w:rPr>
        <w:t> </w:t>
      </w:r>
    </w:p>
    <w:p w14:paraId="0B81EC50">
      <w:pPr>
        <w:pStyle w:val="26"/>
        <w:spacing w:before="75" w:beforeAutospacing="0" w:after="75" w:afterAutospacing="0" w:line="435" w:lineRule="atLeast"/>
        <w:ind w:firstLine="720"/>
        <w:rPr>
          <w:color w:val="auto"/>
        </w:rPr>
      </w:pPr>
      <w:r>
        <w:rPr>
          <w:rFonts w:hint="eastAsia"/>
          <w:color w:val="auto"/>
        </w:rPr>
        <w:t> </w:t>
      </w:r>
    </w:p>
    <w:p w14:paraId="124A6EAE">
      <w:pPr>
        <w:pStyle w:val="26"/>
        <w:spacing w:before="75" w:beforeAutospacing="0" w:after="75" w:afterAutospacing="0" w:line="435" w:lineRule="atLeast"/>
        <w:ind w:firstLine="720"/>
        <w:rPr>
          <w:color w:val="auto"/>
        </w:rPr>
      </w:pPr>
      <w:r>
        <w:rPr>
          <w:rFonts w:hint="eastAsia"/>
          <w:color w:val="auto"/>
        </w:rPr>
        <w:t>通信地址：</w:t>
      </w:r>
      <w:r>
        <w:rPr>
          <w:rFonts w:hint="eastAsia"/>
          <w:color w:val="auto"/>
          <w:u w:val="single"/>
        </w:rPr>
        <w:t xml:space="preserve">                        </w:t>
      </w:r>
    </w:p>
    <w:p w14:paraId="65C74FDD">
      <w:pPr>
        <w:pStyle w:val="26"/>
        <w:spacing w:before="75" w:beforeAutospacing="0" w:after="75" w:afterAutospacing="0" w:line="435" w:lineRule="atLeast"/>
        <w:rPr>
          <w:color w:val="auto"/>
        </w:rPr>
      </w:pPr>
      <w:r>
        <w:rPr>
          <w:rFonts w:hint="eastAsia"/>
          <w:color w:val="auto"/>
        </w:rPr>
        <w:t>    联系电话（固定电话和移动电话）：</w:t>
      </w:r>
      <w:r>
        <w:rPr>
          <w:rFonts w:hint="eastAsia"/>
          <w:color w:val="auto"/>
          <w:u w:val="single"/>
        </w:rPr>
        <w:t>               </w:t>
      </w:r>
    </w:p>
    <w:p w14:paraId="69BDC56D">
      <w:pPr>
        <w:pStyle w:val="26"/>
        <w:spacing w:before="75" w:beforeAutospacing="0" w:after="75" w:afterAutospacing="0" w:line="435" w:lineRule="atLeast"/>
        <w:rPr>
          <w:color w:val="auto"/>
        </w:rPr>
      </w:pPr>
      <w:r>
        <w:rPr>
          <w:rFonts w:hint="eastAsia"/>
          <w:color w:val="auto"/>
        </w:rPr>
        <w:t>    供应商代表：</w:t>
      </w:r>
      <w:r>
        <w:rPr>
          <w:rFonts w:hint="eastAsia"/>
          <w:color w:val="auto"/>
          <w:u w:val="single"/>
        </w:rPr>
        <w:t>      （签字）          </w:t>
      </w:r>
    </w:p>
    <w:p w14:paraId="0CB2D91D">
      <w:pPr>
        <w:pStyle w:val="26"/>
        <w:spacing w:before="75" w:beforeAutospacing="0" w:after="75" w:afterAutospacing="0" w:line="435" w:lineRule="atLeast"/>
        <w:ind w:firstLine="720"/>
        <w:rPr>
          <w:color w:val="auto"/>
        </w:rPr>
      </w:pPr>
      <w:r>
        <w:rPr>
          <w:rFonts w:hint="eastAsia"/>
          <w:color w:val="auto"/>
        </w:rPr>
        <w:t>供应商代表电子信箱：</w:t>
      </w:r>
      <w:r>
        <w:rPr>
          <w:rFonts w:hint="eastAsia"/>
          <w:color w:val="auto"/>
          <w:u w:val="single"/>
        </w:rPr>
        <w:t>                     </w:t>
      </w:r>
    </w:p>
    <w:p w14:paraId="7FC458AC">
      <w:pPr>
        <w:pStyle w:val="26"/>
        <w:spacing w:before="75" w:beforeAutospacing="0" w:after="75" w:afterAutospacing="0" w:line="435" w:lineRule="atLeast"/>
        <w:rPr>
          <w:color w:val="auto"/>
        </w:rPr>
      </w:pPr>
      <w:r>
        <w:rPr>
          <w:rFonts w:hint="eastAsia"/>
          <w:color w:val="auto"/>
        </w:rPr>
        <w:t>    供应商：</w:t>
      </w:r>
      <w:r>
        <w:rPr>
          <w:rFonts w:hint="eastAsia"/>
          <w:color w:val="auto"/>
          <w:u w:val="single"/>
        </w:rPr>
        <w:t>         （全称并加盖公章） </w:t>
      </w:r>
    </w:p>
    <w:p w14:paraId="427E5B46">
      <w:pPr>
        <w:pStyle w:val="26"/>
        <w:spacing w:before="75" w:beforeAutospacing="0" w:after="75" w:afterAutospacing="0" w:line="435" w:lineRule="atLeast"/>
        <w:ind w:firstLine="480"/>
        <w:rPr>
          <w:color w:val="auto"/>
        </w:rPr>
      </w:pPr>
      <w:r>
        <w:rPr>
          <w:rFonts w:hint="eastAsia"/>
          <w:color w:val="auto"/>
        </w:rPr>
        <w:t> 日  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4BA5BFCE">
      <w:pPr>
        <w:pStyle w:val="26"/>
        <w:spacing w:before="75" w:beforeAutospacing="0" w:after="75" w:afterAutospacing="0" w:line="435" w:lineRule="atLeast"/>
        <w:rPr>
          <w:color w:val="auto"/>
        </w:rPr>
      </w:pPr>
      <w:r>
        <w:rPr>
          <w:rFonts w:hint="eastAsia"/>
          <w:color w:val="auto"/>
        </w:rPr>
        <w:t> </w:t>
      </w:r>
    </w:p>
    <w:p w14:paraId="45B7B581">
      <w:pPr>
        <w:pStyle w:val="26"/>
        <w:spacing w:before="75" w:beforeAutospacing="0" w:after="75" w:afterAutospacing="0" w:line="435" w:lineRule="atLeast"/>
        <w:rPr>
          <w:color w:val="auto"/>
        </w:rPr>
      </w:pPr>
      <w:r>
        <w:rPr>
          <w:rStyle w:val="34"/>
          <w:rFonts w:hint="eastAsia"/>
          <w:color w:val="auto"/>
        </w:rPr>
        <w:t> </w:t>
      </w:r>
    </w:p>
    <w:p w14:paraId="3ACEABB3">
      <w:pPr>
        <w:pStyle w:val="26"/>
        <w:spacing w:before="75" w:beforeAutospacing="0" w:after="75" w:afterAutospacing="0" w:line="375" w:lineRule="atLeast"/>
        <w:rPr>
          <w:color w:val="auto"/>
        </w:rPr>
      </w:pPr>
      <w:r>
        <w:rPr>
          <w:rStyle w:val="34"/>
          <w:rFonts w:ascii="仿宋_GB2312" w:eastAsia="仿宋_GB2312" w:cs="仿宋_GB2312"/>
          <w:color w:val="auto"/>
        </w:rPr>
        <w:t> </w:t>
      </w:r>
    </w:p>
    <w:p w14:paraId="49EC11F0">
      <w:pPr>
        <w:pStyle w:val="26"/>
        <w:spacing w:before="75" w:beforeAutospacing="0" w:after="75" w:afterAutospacing="0"/>
        <w:rPr>
          <w:color w:val="auto"/>
        </w:rPr>
      </w:pPr>
      <w:r>
        <w:rPr>
          <w:color w:val="auto"/>
        </w:rPr>
        <w:t> </w:t>
      </w:r>
    </w:p>
    <w:p w14:paraId="0336200F">
      <w:pPr>
        <w:pStyle w:val="26"/>
        <w:spacing w:before="75" w:beforeAutospacing="0" w:after="75" w:afterAutospacing="0"/>
        <w:rPr>
          <w:color w:val="auto"/>
        </w:rPr>
      </w:pPr>
      <w:r>
        <w:rPr>
          <w:color w:val="auto"/>
        </w:rPr>
        <w:br w:type="page"/>
      </w:r>
      <w:r>
        <w:rPr>
          <w:rFonts w:hint="eastAsia"/>
          <w:color w:val="auto"/>
        </w:rPr>
        <w:t>附件2          </w:t>
      </w:r>
      <w:r>
        <w:rPr>
          <w:rFonts w:hint="eastAsia"/>
          <w:color w:val="auto"/>
          <w:lang w:val="en-US" w:eastAsia="zh-CN"/>
        </w:rPr>
        <w:t xml:space="preserve">                 </w:t>
      </w:r>
      <w:r>
        <w:rPr>
          <w:rStyle w:val="34"/>
          <w:rFonts w:hint="eastAsia"/>
          <w:color w:val="auto"/>
        </w:rPr>
        <w:t>报价一览表（首次报价）</w:t>
      </w:r>
    </w:p>
    <w:p w14:paraId="57333EF7">
      <w:pPr>
        <w:pStyle w:val="26"/>
        <w:spacing w:before="75" w:beforeAutospacing="0" w:after="75" w:afterAutospacing="0" w:line="375" w:lineRule="atLeast"/>
        <w:rPr>
          <w:color w:val="auto"/>
        </w:rPr>
      </w:pPr>
      <w:r>
        <w:rPr>
          <w:rFonts w:hint="eastAsia"/>
          <w:color w:val="auto"/>
        </w:rPr>
        <w:t> </w:t>
      </w:r>
    </w:p>
    <w:p w14:paraId="56BF82E4">
      <w:pPr>
        <w:pStyle w:val="26"/>
        <w:spacing w:before="75" w:beforeAutospacing="0" w:after="75" w:afterAutospacing="0" w:line="375" w:lineRule="atLeast"/>
        <w:rPr>
          <w:rFonts w:hint="default" w:eastAsiaTheme="minorEastAsia"/>
          <w:color w:val="auto"/>
          <w:lang w:val="en-US" w:eastAsia="zh-CN"/>
        </w:rPr>
      </w:pPr>
      <w:r>
        <w:rPr>
          <w:rFonts w:hint="eastAsia"/>
          <w:color w:val="auto"/>
        </w:rPr>
        <w:t>供应商名称：</w:t>
      </w:r>
      <w:r>
        <w:rPr>
          <w:rFonts w:hint="eastAsia"/>
          <w:color w:val="auto"/>
          <w:u w:val="single"/>
        </w:rPr>
        <w:t>（全称加盖单位公章）</w:t>
      </w:r>
      <w:r>
        <w:rPr>
          <w:rFonts w:hint="eastAsia"/>
          <w:color w:val="auto"/>
        </w:rPr>
        <w:t>项目编号：</w:t>
      </w:r>
      <w:r>
        <w:rPr>
          <w:rFonts w:hint="eastAsia"/>
          <w:color w:val="auto"/>
          <w:u w:val="single"/>
        </w:rPr>
        <w:t>    </w:t>
      </w:r>
      <w:r>
        <w:rPr>
          <w:rFonts w:hint="eastAsia"/>
          <w:color w:val="auto"/>
          <w:u w:val="single"/>
          <w:lang w:val="en-US" w:eastAsia="zh-CN"/>
        </w:rPr>
        <w:t xml:space="preserve">             </w:t>
      </w:r>
    </w:p>
    <w:tbl>
      <w:tblPr>
        <w:tblStyle w:val="31"/>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1037"/>
        <w:gridCol w:w="3756"/>
        <w:gridCol w:w="1803"/>
        <w:gridCol w:w="1007"/>
        <w:gridCol w:w="1535"/>
      </w:tblGrid>
      <w:tr w14:paraId="62769F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15" w:hRule="atLeast"/>
        </w:trPr>
        <w:tc>
          <w:tcPr>
            <w:tcW w:w="1037"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697244">
            <w:pPr>
              <w:pStyle w:val="26"/>
              <w:spacing w:beforeAutospacing="0" w:afterAutospacing="0" w:line="465" w:lineRule="atLeast"/>
              <w:jc w:val="center"/>
              <w:rPr>
                <w:rFonts w:hint="eastAsia" w:eastAsiaTheme="minorEastAsia"/>
                <w:color w:val="auto"/>
                <w:lang w:eastAsia="zh-CN"/>
              </w:rPr>
            </w:pPr>
            <w:r>
              <w:rPr>
                <w:rFonts w:hint="eastAsia"/>
                <w:color w:val="auto"/>
                <w:lang w:eastAsia="zh-CN"/>
              </w:rPr>
              <w:t>采购包</w:t>
            </w:r>
          </w:p>
        </w:tc>
        <w:tc>
          <w:tcPr>
            <w:tcW w:w="3756"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6A3CC1">
            <w:pPr>
              <w:pStyle w:val="26"/>
              <w:spacing w:beforeAutospacing="0" w:afterAutospacing="0" w:line="465" w:lineRule="atLeast"/>
              <w:jc w:val="center"/>
              <w:rPr>
                <w:rFonts w:hint="eastAsia" w:eastAsiaTheme="minorEastAsia"/>
                <w:color w:val="auto"/>
                <w:lang w:eastAsia="zh-CN"/>
              </w:rPr>
            </w:pPr>
            <w:r>
              <w:rPr>
                <w:rFonts w:hint="eastAsia"/>
                <w:color w:val="auto"/>
              </w:rPr>
              <w:t>首次报价</w:t>
            </w:r>
            <w:r>
              <w:rPr>
                <w:rFonts w:hint="eastAsia"/>
                <w:color w:val="auto"/>
                <w:lang w:eastAsia="zh-CN"/>
              </w:rPr>
              <w:t>（</w:t>
            </w:r>
            <w:r>
              <w:rPr>
                <w:rFonts w:hint="eastAsia"/>
                <w:color w:val="auto"/>
                <w:lang w:val="en-US" w:eastAsia="zh-CN"/>
              </w:rPr>
              <w:t>下浮率</w:t>
            </w:r>
            <w:r>
              <w:rPr>
                <w:rFonts w:hint="eastAsia"/>
                <w:color w:val="auto"/>
                <w:lang w:eastAsia="zh-CN"/>
              </w:rPr>
              <w:t>）</w:t>
            </w:r>
          </w:p>
        </w:tc>
        <w:tc>
          <w:tcPr>
            <w:tcW w:w="1803"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496904">
            <w:pPr>
              <w:pStyle w:val="26"/>
              <w:spacing w:beforeAutospacing="0" w:afterAutospacing="0" w:line="465" w:lineRule="atLeast"/>
              <w:jc w:val="center"/>
              <w:rPr>
                <w:color w:val="auto"/>
              </w:rPr>
            </w:pPr>
            <w:r>
              <w:rPr>
                <w:rFonts w:hint="eastAsia"/>
                <w:color w:val="auto"/>
                <w:lang w:val="en-US" w:eastAsia="zh-CN"/>
              </w:rPr>
              <w:t>服务期限</w:t>
            </w:r>
          </w:p>
        </w:tc>
        <w:tc>
          <w:tcPr>
            <w:tcW w:w="100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20028A">
            <w:pPr>
              <w:pStyle w:val="26"/>
              <w:spacing w:beforeAutospacing="0" w:afterAutospacing="0" w:line="465" w:lineRule="atLeast"/>
              <w:jc w:val="center"/>
              <w:rPr>
                <w:color w:val="auto"/>
              </w:rPr>
            </w:pPr>
            <w:r>
              <w:rPr>
                <w:rFonts w:hint="eastAsia"/>
                <w:color w:val="auto"/>
              </w:rPr>
              <w:t>磋商保证金</w:t>
            </w:r>
          </w:p>
        </w:tc>
        <w:tc>
          <w:tcPr>
            <w:tcW w:w="153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2A97B2">
            <w:pPr>
              <w:pStyle w:val="26"/>
              <w:spacing w:beforeAutospacing="0" w:afterAutospacing="0" w:line="465" w:lineRule="atLeast"/>
              <w:jc w:val="center"/>
              <w:rPr>
                <w:color w:val="auto"/>
              </w:rPr>
            </w:pPr>
            <w:r>
              <w:rPr>
                <w:rFonts w:hint="eastAsia"/>
                <w:color w:val="auto"/>
              </w:rPr>
              <w:t>备注</w:t>
            </w:r>
          </w:p>
        </w:tc>
      </w:tr>
      <w:tr w14:paraId="436050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15" w:hRule="atLeast"/>
        </w:trPr>
        <w:tc>
          <w:tcPr>
            <w:tcW w:w="1037"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69EA29">
            <w:pPr>
              <w:pStyle w:val="26"/>
              <w:spacing w:beforeAutospacing="0" w:afterAutospacing="0" w:line="465" w:lineRule="atLeast"/>
              <w:rPr>
                <w:rFonts w:hint="eastAsia" w:eastAsiaTheme="minorEastAsia"/>
                <w:color w:val="auto"/>
                <w:lang w:eastAsia="zh-CN"/>
              </w:rPr>
            </w:pPr>
            <w:r>
              <w:rPr>
                <w:rFonts w:hint="eastAsia"/>
                <w:color w:val="auto"/>
                <w:lang w:val="en-US" w:eastAsia="zh-CN"/>
              </w:rPr>
              <w:t>1</w:t>
            </w:r>
          </w:p>
        </w:tc>
        <w:tc>
          <w:tcPr>
            <w:tcW w:w="37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46F7E5">
            <w:pPr>
              <w:widowControl/>
              <w:jc w:val="left"/>
              <w:rPr>
                <w:color w:val="auto"/>
                <w:sz w:val="24"/>
              </w:rPr>
            </w:pPr>
          </w:p>
        </w:tc>
        <w:tc>
          <w:tcPr>
            <w:tcW w:w="180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9184F7">
            <w:pPr>
              <w:widowControl/>
              <w:jc w:val="center"/>
              <w:rPr>
                <w:rFonts w:hint="default" w:eastAsiaTheme="minorEastAsia"/>
                <w:color w:val="auto"/>
                <w:sz w:val="24"/>
                <w:lang w:val="en-US" w:eastAsia="zh-CN"/>
              </w:rPr>
            </w:pPr>
            <w:r>
              <w:rPr>
                <w:rFonts w:hint="eastAsia"/>
                <w:color w:val="auto"/>
                <w:sz w:val="24"/>
                <w:lang w:val="en-US" w:eastAsia="zh-CN"/>
              </w:rPr>
              <w:t>1年</w:t>
            </w:r>
          </w:p>
        </w:tc>
        <w:tc>
          <w:tcPr>
            <w:tcW w:w="100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483225">
            <w:pPr>
              <w:widowControl/>
              <w:jc w:val="left"/>
              <w:rPr>
                <w:color w:val="auto"/>
                <w:sz w:val="24"/>
              </w:rPr>
            </w:pPr>
          </w:p>
        </w:tc>
        <w:tc>
          <w:tcPr>
            <w:tcW w:w="15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5E5981">
            <w:pPr>
              <w:widowControl/>
              <w:jc w:val="left"/>
              <w:rPr>
                <w:color w:val="auto"/>
                <w:sz w:val="24"/>
              </w:rPr>
            </w:pPr>
          </w:p>
        </w:tc>
      </w:tr>
    </w:tbl>
    <w:p w14:paraId="0D0D77AC">
      <w:pPr>
        <w:pStyle w:val="48"/>
        <w:widowControl w:val="0"/>
        <w:wordWrap w:val="0"/>
        <w:spacing w:line="440" w:lineRule="exact"/>
        <w:jc w:val="both"/>
        <w:rPr>
          <w:rFonts w:hint="default" w:ascii="宋体" w:hAnsi="宋体" w:cs="宋体"/>
          <w:color w:val="auto"/>
          <w:sz w:val="24"/>
          <w:szCs w:val="24"/>
          <w:highlight w:val="none"/>
        </w:rPr>
      </w:pPr>
      <w:r>
        <w:rPr>
          <w:rFonts w:ascii="宋体" w:hAnsi="宋体"/>
          <w:b/>
          <w:color w:val="auto"/>
          <w:sz w:val="24"/>
          <w:highlight w:val="none"/>
          <w:lang w:eastAsia="zh-CN"/>
        </w:rPr>
        <w:t>注：</w:t>
      </w:r>
      <w:r>
        <w:rPr>
          <w:rFonts w:hint="eastAsia" w:ascii="宋体" w:hAnsi="宋体"/>
          <w:b/>
          <w:color w:val="auto"/>
          <w:sz w:val="24"/>
          <w:highlight w:val="none"/>
          <w:lang w:eastAsia="zh-CN"/>
        </w:rPr>
        <w:t>保留至小数点后两位，例如为10.00%，正式编制响应文件时需删除本注释内容</w:t>
      </w:r>
      <w:r>
        <w:rPr>
          <w:rFonts w:ascii="宋体" w:hAnsi="宋体"/>
          <w:b/>
          <w:color w:val="auto"/>
          <w:sz w:val="24"/>
          <w:highlight w:val="none"/>
        </w:rPr>
        <w:t>。</w:t>
      </w:r>
    </w:p>
    <w:p w14:paraId="614DD88F">
      <w:pPr>
        <w:pStyle w:val="26"/>
        <w:spacing w:before="75" w:beforeAutospacing="0" w:after="75" w:afterAutospacing="0" w:line="375" w:lineRule="atLeast"/>
        <w:rPr>
          <w:color w:val="auto"/>
        </w:rPr>
      </w:pPr>
      <w:r>
        <w:rPr>
          <w:rFonts w:hint="eastAsia"/>
          <w:color w:val="auto"/>
        </w:rPr>
        <w:t> </w:t>
      </w:r>
    </w:p>
    <w:p w14:paraId="391798A3">
      <w:pPr>
        <w:pStyle w:val="26"/>
        <w:spacing w:before="75" w:beforeAutospacing="0" w:after="75" w:afterAutospacing="0"/>
        <w:jc w:val="center"/>
        <w:rPr>
          <w:color w:val="auto"/>
        </w:rPr>
      </w:pPr>
      <w:r>
        <w:rPr>
          <w:rFonts w:hint="eastAsia"/>
          <w:color w:val="auto"/>
        </w:rPr>
        <w:t>供应商代表：</w:t>
      </w:r>
      <w:r>
        <w:rPr>
          <w:rFonts w:hint="eastAsia"/>
          <w:color w:val="auto"/>
          <w:u w:val="single"/>
        </w:rPr>
        <w:t>      （签字）</w:t>
      </w:r>
      <w:r>
        <w:rPr>
          <w:color w:val="auto"/>
          <w:u w:val="single"/>
        </w:rPr>
        <w:br w:type="page"/>
      </w:r>
      <w:r>
        <w:rPr>
          <w:rStyle w:val="34"/>
          <w:rFonts w:hint="eastAsia"/>
          <w:color w:val="auto"/>
        </w:rPr>
        <w:t>报价一览表（</w:t>
      </w:r>
      <w:r>
        <w:rPr>
          <w:rStyle w:val="34"/>
          <w:rFonts w:hint="eastAsia"/>
          <w:color w:val="auto"/>
          <w:u w:val="single"/>
          <w:lang w:val="en-US" w:eastAsia="zh-CN"/>
        </w:rPr>
        <w:t>最后</w:t>
      </w:r>
      <w:r>
        <w:rPr>
          <w:rStyle w:val="34"/>
          <w:rFonts w:hint="eastAsia"/>
          <w:color w:val="auto"/>
        </w:rPr>
        <w:t>报价）</w:t>
      </w:r>
    </w:p>
    <w:p w14:paraId="7140E06E">
      <w:pPr>
        <w:pStyle w:val="26"/>
        <w:spacing w:before="75" w:beforeAutospacing="0" w:after="75" w:afterAutospacing="0" w:line="375" w:lineRule="atLeast"/>
        <w:rPr>
          <w:color w:val="auto"/>
        </w:rPr>
      </w:pPr>
      <w:r>
        <w:rPr>
          <w:rFonts w:hint="eastAsia"/>
          <w:color w:val="auto"/>
        </w:rPr>
        <w:t> </w:t>
      </w:r>
    </w:p>
    <w:p w14:paraId="5215975B">
      <w:pPr>
        <w:pStyle w:val="26"/>
        <w:spacing w:before="75" w:beforeAutospacing="0" w:after="75" w:afterAutospacing="0" w:line="375" w:lineRule="atLeast"/>
        <w:rPr>
          <w:rFonts w:hint="default" w:eastAsiaTheme="minorEastAsia"/>
          <w:color w:val="auto"/>
          <w:lang w:val="en-US" w:eastAsia="zh-CN"/>
        </w:rPr>
      </w:pPr>
      <w:r>
        <w:rPr>
          <w:rFonts w:hint="eastAsia"/>
          <w:color w:val="auto"/>
        </w:rPr>
        <w:t>供应商名称：</w:t>
      </w:r>
      <w:r>
        <w:rPr>
          <w:rFonts w:hint="eastAsia"/>
          <w:color w:val="auto"/>
          <w:u w:val="single"/>
        </w:rPr>
        <w:t>（全称加盖单位公章）</w:t>
      </w:r>
      <w:r>
        <w:rPr>
          <w:rFonts w:hint="eastAsia"/>
          <w:color w:val="auto"/>
        </w:rPr>
        <w:t>项目编号：</w:t>
      </w:r>
      <w:r>
        <w:rPr>
          <w:rFonts w:hint="eastAsia"/>
          <w:color w:val="auto"/>
          <w:u w:val="single"/>
        </w:rPr>
        <w:t>    </w:t>
      </w:r>
      <w:r>
        <w:rPr>
          <w:rFonts w:hint="eastAsia"/>
          <w:color w:val="auto"/>
          <w:u w:val="single"/>
          <w:lang w:val="en-US" w:eastAsia="zh-CN"/>
        </w:rPr>
        <w:t xml:space="preserve">          </w:t>
      </w:r>
    </w:p>
    <w:tbl>
      <w:tblPr>
        <w:tblStyle w:val="31"/>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1037"/>
        <w:gridCol w:w="3756"/>
        <w:gridCol w:w="1803"/>
        <w:gridCol w:w="1007"/>
        <w:gridCol w:w="1535"/>
      </w:tblGrid>
      <w:tr w14:paraId="740DEC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15" w:hRule="atLeast"/>
        </w:trPr>
        <w:tc>
          <w:tcPr>
            <w:tcW w:w="1037"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A9F89C">
            <w:pPr>
              <w:pStyle w:val="26"/>
              <w:spacing w:beforeAutospacing="0" w:afterAutospacing="0" w:line="465" w:lineRule="atLeast"/>
              <w:jc w:val="center"/>
              <w:rPr>
                <w:rFonts w:hint="eastAsia" w:eastAsiaTheme="minorEastAsia"/>
                <w:color w:val="auto"/>
                <w:lang w:eastAsia="zh-CN"/>
              </w:rPr>
            </w:pPr>
            <w:r>
              <w:rPr>
                <w:rFonts w:hint="eastAsia"/>
                <w:color w:val="auto"/>
                <w:lang w:eastAsia="zh-CN"/>
              </w:rPr>
              <w:t>采购包</w:t>
            </w:r>
          </w:p>
        </w:tc>
        <w:tc>
          <w:tcPr>
            <w:tcW w:w="3756"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74B413">
            <w:pPr>
              <w:pStyle w:val="26"/>
              <w:spacing w:beforeAutospacing="0" w:afterAutospacing="0" w:line="465" w:lineRule="atLeast"/>
              <w:jc w:val="center"/>
              <w:rPr>
                <w:rFonts w:hint="eastAsia" w:eastAsiaTheme="minorEastAsia"/>
                <w:color w:val="auto"/>
                <w:lang w:eastAsia="zh-CN"/>
              </w:rPr>
            </w:pPr>
            <w:r>
              <w:rPr>
                <w:rFonts w:hint="eastAsia"/>
                <w:color w:val="auto"/>
              </w:rPr>
              <w:t>首次报价</w:t>
            </w:r>
            <w:r>
              <w:rPr>
                <w:rFonts w:hint="eastAsia"/>
                <w:color w:val="auto"/>
                <w:lang w:eastAsia="zh-CN"/>
              </w:rPr>
              <w:t>（</w:t>
            </w:r>
            <w:r>
              <w:rPr>
                <w:rFonts w:hint="eastAsia"/>
                <w:color w:val="auto"/>
                <w:lang w:val="en-US" w:eastAsia="zh-CN"/>
              </w:rPr>
              <w:t>下浮率</w:t>
            </w:r>
            <w:r>
              <w:rPr>
                <w:rFonts w:hint="eastAsia"/>
                <w:color w:val="auto"/>
                <w:lang w:eastAsia="zh-CN"/>
              </w:rPr>
              <w:t>）</w:t>
            </w:r>
          </w:p>
        </w:tc>
        <w:tc>
          <w:tcPr>
            <w:tcW w:w="1803"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5B497B">
            <w:pPr>
              <w:pStyle w:val="26"/>
              <w:spacing w:beforeAutospacing="0" w:afterAutospacing="0" w:line="465" w:lineRule="atLeast"/>
              <w:jc w:val="center"/>
              <w:rPr>
                <w:color w:val="auto"/>
              </w:rPr>
            </w:pPr>
            <w:r>
              <w:rPr>
                <w:rFonts w:hint="eastAsia"/>
                <w:color w:val="auto"/>
                <w:lang w:val="en-US" w:eastAsia="zh-CN"/>
              </w:rPr>
              <w:t>服务期限</w:t>
            </w:r>
          </w:p>
        </w:tc>
        <w:tc>
          <w:tcPr>
            <w:tcW w:w="100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A133EE">
            <w:pPr>
              <w:pStyle w:val="26"/>
              <w:spacing w:beforeAutospacing="0" w:afterAutospacing="0" w:line="465" w:lineRule="atLeast"/>
              <w:jc w:val="center"/>
              <w:rPr>
                <w:color w:val="auto"/>
              </w:rPr>
            </w:pPr>
            <w:r>
              <w:rPr>
                <w:rFonts w:hint="eastAsia"/>
                <w:color w:val="auto"/>
              </w:rPr>
              <w:t>磋商保证金</w:t>
            </w:r>
          </w:p>
        </w:tc>
        <w:tc>
          <w:tcPr>
            <w:tcW w:w="153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23A7A4">
            <w:pPr>
              <w:pStyle w:val="26"/>
              <w:spacing w:beforeAutospacing="0" w:afterAutospacing="0" w:line="465" w:lineRule="atLeast"/>
              <w:jc w:val="center"/>
              <w:rPr>
                <w:color w:val="auto"/>
              </w:rPr>
            </w:pPr>
            <w:r>
              <w:rPr>
                <w:rFonts w:hint="eastAsia"/>
                <w:color w:val="auto"/>
              </w:rPr>
              <w:t>备注</w:t>
            </w:r>
          </w:p>
        </w:tc>
      </w:tr>
      <w:tr w14:paraId="505200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15" w:hRule="atLeast"/>
        </w:trPr>
        <w:tc>
          <w:tcPr>
            <w:tcW w:w="1037"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1EE53A">
            <w:pPr>
              <w:pStyle w:val="26"/>
              <w:spacing w:beforeAutospacing="0" w:afterAutospacing="0" w:line="465" w:lineRule="atLeast"/>
              <w:rPr>
                <w:rFonts w:hint="eastAsia" w:eastAsiaTheme="minorEastAsia"/>
                <w:color w:val="auto"/>
                <w:lang w:eastAsia="zh-CN"/>
              </w:rPr>
            </w:pPr>
            <w:r>
              <w:rPr>
                <w:rFonts w:hint="eastAsia"/>
                <w:color w:val="auto"/>
                <w:lang w:val="en-US" w:eastAsia="zh-CN"/>
              </w:rPr>
              <w:t>1</w:t>
            </w:r>
          </w:p>
        </w:tc>
        <w:tc>
          <w:tcPr>
            <w:tcW w:w="37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432332">
            <w:pPr>
              <w:widowControl/>
              <w:jc w:val="left"/>
              <w:rPr>
                <w:color w:val="auto"/>
                <w:sz w:val="24"/>
              </w:rPr>
            </w:pPr>
          </w:p>
        </w:tc>
        <w:tc>
          <w:tcPr>
            <w:tcW w:w="180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466CCD">
            <w:pPr>
              <w:widowControl/>
              <w:jc w:val="center"/>
              <w:rPr>
                <w:rFonts w:hint="default" w:eastAsiaTheme="minorEastAsia"/>
                <w:color w:val="auto"/>
                <w:sz w:val="24"/>
                <w:lang w:val="en-US" w:eastAsia="zh-CN"/>
              </w:rPr>
            </w:pPr>
            <w:r>
              <w:rPr>
                <w:rFonts w:hint="eastAsia"/>
                <w:color w:val="auto"/>
                <w:sz w:val="24"/>
                <w:lang w:val="en-US" w:eastAsia="zh-CN"/>
              </w:rPr>
              <w:t>1年</w:t>
            </w:r>
          </w:p>
        </w:tc>
        <w:tc>
          <w:tcPr>
            <w:tcW w:w="100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3C5FDC">
            <w:pPr>
              <w:widowControl/>
              <w:jc w:val="left"/>
              <w:rPr>
                <w:color w:val="auto"/>
                <w:sz w:val="24"/>
              </w:rPr>
            </w:pPr>
          </w:p>
        </w:tc>
        <w:tc>
          <w:tcPr>
            <w:tcW w:w="15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6FFA33">
            <w:pPr>
              <w:widowControl/>
              <w:jc w:val="left"/>
              <w:rPr>
                <w:color w:val="auto"/>
                <w:sz w:val="24"/>
              </w:rPr>
            </w:pPr>
          </w:p>
        </w:tc>
      </w:tr>
    </w:tbl>
    <w:p w14:paraId="5A466BCE">
      <w:pPr>
        <w:pStyle w:val="48"/>
        <w:widowControl w:val="0"/>
        <w:wordWrap w:val="0"/>
        <w:spacing w:line="440" w:lineRule="exact"/>
        <w:jc w:val="both"/>
        <w:rPr>
          <w:rFonts w:hint="default" w:ascii="宋体" w:hAnsi="宋体" w:cs="宋体"/>
          <w:color w:val="auto"/>
          <w:sz w:val="24"/>
          <w:szCs w:val="24"/>
          <w:highlight w:val="none"/>
        </w:rPr>
      </w:pPr>
      <w:r>
        <w:rPr>
          <w:rFonts w:ascii="宋体" w:hAnsi="宋体"/>
          <w:b/>
          <w:color w:val="auto"/>
          <w:sz w:val="24"/>
          <w:highlight w:val="none"/>
          <w:lang w:eastAsia="zh-CN"/>
        </w:rPr>
        <w:t>注：</w:t>
      </w:r>
      <w:r>
        <w:rPr>
          <w:rFonts w:hint="eastAsia" w:ascii="宋体" w:hAnsi="宋体"/>
          <w:b/>
          <w:color w:val="auto"/>
          <w:sz w:val="24"/>
          <w:highlight w:val="none"/>
          <w:lang w:eastAsia="zh-CN"/>
        </w:rPr>
        <w:t>保留至小数点后两位，例如为10.00%，正式编制响应文件时需删除本注释内容</w:t>
      </w:r>
      <w:r>
        <w:rPr>
          <w:rFonts w:ascii="宋体" w:hAnsi="宋体"/>
          <w:b/>
          <w:color w:val="auto"/>
          <w:sz w:val="24"/>
          <w:highlight w:val="none"/>
        </w:rPr>
        <w:t>。</w:t>
      </w:r>
    </w:p>
    <w:p w14:paraId="2BF26CAE">
      <w:pPr>
        <w:pStyle w:val="26"/>
        <w:spacing w:before="75" w:beforeAutospacing="0" w:after="75" w:afterAutospacing="0" w:line="375" w:lineRule="atLeast"/>
        <w:rPr>
          <w:color w:val="auto"/>
        </w:rPr>
      </w:pPr>
      <w:r>
        <w:rPr>
          <w:rFonts w:hint="eastAsia"/>
          <w:color w:val="auto"/>
        </w:rPr>
        <w:t>                    </w:t>
      </w:r>
    </w:p>
    <w:p w14:paraId="6A645FCF">
      <w:pPr>
        <w:pStyle w:val="26"/>
        <w:spacing w:before="75" w:beforeAutospacing="0" w:after="75" w:afterAutospacing="0" w:line="375" w:lineRule="atLeast"/>
        <w:jc w:val="right"/>
        <w:rPr>
          <w:color w:val="auto"/>
        </w:rPr>
      </w:pPr>
      <w:r>
        <w:rPr>
          <w:rFonts w:hint="eastAsia"/>
          <w:color w:val="auto"/>
        </w:rPr>
        <w:t>供应商代表：</w:t>
      </w:r>
      <w:r>
        <w:rPr>
          <w:rFonts w:hint="eastAsia"/>
          <w:color w:val="auto"/>
          <w:u w:val="single"/>
        </w:rPr>
        <w:t>      （签字）</w:t>
      </w:r>
    </w:p>
    <w:p w14:paraId="5BA7BAA3">
      <w:pPr>
        <w:pStyle w:val="26"/>
        <w:spacing w:before="75" w:beforeAutospacing="0" w:after="75" w:afterAutospacing="0"/>
        <w:rPr>
          <w:rFonts w:eastAsia="宋体"/>
          <w:color w:val="auto"/>
        </w:rPr>
      </w:pPr>
    </w:p>
    <w:p w14:paraId="36D08D53">
      <w:pPr>
        <w:pStyle w:val="26"/>
        <w:spacing w:before="75" w:beforeAutospacing="0" w:after="75" w:afterAutospacing="0"/>
        <w:rPr>
          <w:color w:val="auto"/>
        </w:rPr>
      </w:pPr>
      <w:r>
        <w:rPr>
          <w:color w:val="auto"/>
        </w:rPr>
        <w:br w:type="page"/>
      </w:r>
      <w:r>
        <w:rPr>
          <w:rFonts w:hint="eastAsia"/>
          <w:color w:val="auto"/>
        </w:rPr>
        <w:t xml:space="preserve">附件3               </w:t>
      </w:r>
      <w:r>
        <w:rPr>
          <w:rStyle w:val="34"/>
          <w:rFonts w:hint="eastAsia"/>
          <w:color w:val="auto"/>
        </w:rPr>
        <w:t>资格证明文件</w:t>
      </w:r>
      <w:r>
        <w:rPr>
          <w:rFonts w:hint="eastAsia"/>
          <w:color w:val="auto"/>
        </w:rPr>
        <w:t> </w:t>
      </w:r>
    </w:p>
    <w:p w14:paraId="7BC37214">
      <w:pPr>
        <w:pStyle w:val="26"/>
        <w:spacing w:before="75" w:beforeAutospacing="0" w:after="75" w:afterAutospacing="0"/>
        <w:rPr>
          <w:color w:val="auto"/>
        </w:rPr>
      </w:pPr>
      <w:r>
        <w:rPr>
          <w:rFonts w:hint="eastAsia"/>
          <w:color w:val="auto"/>
        </w:rPr>
        <w:t> </w:t>
      </w:r>
    </w:p>
    <w:p w14:paraId="3390C760">
      <w:pPr>
        <w:pStyle w:val="26"/>
        <w:spacing w:before="75" w:beforeAutospacing="0" w:after="75" w:afterAutospacing="0" w:line="465" w:lineRule="atLeast"/>
        <w:rPr>
          <w:color w:val="auto"/>
        </w:rPr>
      </w:pPr>
      <w:r>
        <w:rPr>
          <w:rFonts w:hint="eastAsia"/>
          <w:color w:val="auto"/>
        </w:rPr>
        <w:t>附件3-1       </w:t>
      </w:r>
      <w:r>
        <w:rPr>
          <w:rStyle w:val="34"/>
          <w:rFonts w:hint="eastAsia"/>
          <w:color w:val="auto"/>
        </w:rPr>
        <w:t>参加竞争性磋商的声明函</w:t>
      </w:r>
      <w:r>
        <w:rPr>
          <w:rFonts w:hint="eastAsia"/>
          <w:color w:val="auto"/>
        </w:rPr>
        <w:t> </w:t>
      </w:r>
    </w:p>
    <w:p w14:paraId="47404C90">
      <w:pPr>
        <w:pStyle w:val="26"/>
        <w:spacing w:before="75" w:beforeAutospacing="0" w:after="75" w:afterAutospacing="0" w:line="435" w:lineRule="atLeast"/>
        <w:rPr>
          <w:color w:val="auto"/>
        </w:rPr>
      </w:pPr>
      <w:r>
        <w:rPr>
          <w:rFonts w:hint="eastAsia"/>
          <w:color w:val="auto"/>
        </w:rPr>
        <w:t> </w:t>
      </w:r>
    </w:p>
    <w:p w14:paraId="5254CC8B">
      <w:pPr>
        <w:pStyle w:val="26"/>
        <w:spacing w:before="75" w:beforeAutospacing="0" w:after="75" w:afterAutospacing="0" w:line="435" w:lineRule="atLeast"/>
        <w:rPr>
          <w:color w:val="auto"/>
        </w:rPr>
      </w:pPr>
      <w:r>
        <w:rPr>
          <w:rFonts w:hint="eastAsia"/>
          <w:color w:val="auto"/>
        </w:rPr>
        <w:t>致：</w:t>
      </w:r>
      <w:r>
        <w:rPr>
          <w:rFonts w:hint="eastAsia"/>
          <w:color w:val="auto"/>
          <w:u w:val="single"/>
        </w:rPr>
        <w:t>     (采购人或采购代理机构</w:t>
      </w:r>
      <w:r>
        <w:rPr>
          <w:rFonts w:cs="Calibri"/>
          <w:color w:val="auto"/>
          <w:u w:val="single"/>
        </w:rPr>
        <w:t>)       </w:t>
      </w:r>
      <w:r>
        <w:rPr>
          <w:rFonts w:hint="eastAsia"/>
          <w:color w:val="auto"/>
        </w:rPr>
        <w:t> </w:t>
      </w:r>
    </w:p>
    <w:p w14:paraId="3B10A2C5">
      <w:pPr>
        <w:pStyle w:val="26"/>
        <w:spacing w:before="75" w:beforeAutospacing="0" w:after="75" w:afterAutospacing="0" w:line="435" w:lineRule="atLeast"/>
        <w:jc w:val="both"/>
        <w:rPr>
          <w:color w:val="auto"/>
        </w:rPr>
      </w:pPr>
      <w:r>
        <w:rPr>
          <w:rFonts w:hint="eastAsia"/>
          <w:color w:val="auto"/>
        </w:rPr>
        <w:t>  1、关于贵方______年______月______日</w:t>
      </w:r>
      <w:r>
        <w:rPr>
          <w:rFonts w:hint="eastAsia"/>
          <w:color w:val="auto"/>
          <w:u w:val="single"/>
        </w:rPr>
        <w:t>             </w:t>
      </w:r>
      <w:r>
        <w:rPr>
          <w:rFonts w:hint="eastAsia"/>
          <w:color w:val="auto"/>
        </w:rPr>
        <w:t>项目（项目编号：</w:t>
      </w:r>
      <w:r>
        <w:rPr>
          <w:rFonts w:hint="eastAsia"/>
          <w:color w:val="auto"/>
          <w:u w:val="single"/>
        </w:rPr>
        <w:t>        </w:t>
      </w:r>
      <w:r>
        <w:rPr>
          <w:rFonts w:hint="eastAsia"/>
          <w:color w:val="auto"/>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72BD2E81">
      <w:pPr>
        <w:pStyle w:val="26"/>
        <w:spacing w:before="75" w:beforeAutospacing="0" w:after="75" w:afterAutospacing="0" w:line="360" w:lineRule="atLeast"/>
        <w:ind w:left="540"/>
        <w:rPr>
          <w:rFonts w:eastAsia="宋体"/>
          <w:color w:val="auto"/>
        </w:rPr>
      </w:pPr>
      <w:r>
        <w:rPr>
          <w:rFonts w:hint="eastAsia"/>
          <w:color w:val="auto"/>
        </w:rPr>
        <w:t>2、供应商的基本概况：</w:t>
      </w:r>
    </w:p>
    <w:p w14:paraId="4D00E87B">
      <w:pPr>
        <w:pStyle w:val="26"/>
        <w:spacing w:before="75" w:beforeAutospacing="0" w:after="75" w:afterAutospacing="0" w:line="360" w:lineRule="atLeast"/>
        <w:ind w:left="540"/>
        <w:rPr>
          <w:rFonts w:eastAsia="宋体"/>
          <w:color w:val="auto"/>
          <w:u w:val="single"/>
        </w:rPr>
      </w:pPr>
      <w:r>
        <w:rPr>
          <w:rFonts w:hint="eastAsia"/>
          <w:color w:val="auto"/>
        </w:rPr>
        <w:t>2.1供应商单位名称：</w:t>
      </w:r>
      <w:r>
        <w:rPr>
          <w:rFonts w:hint="eastAsia"/>
          <w:color w:val="auto"/>
          <w:u w:val="single"/>
        </w:rPr>
        <w:t>                     </w:t>
      </w:r>
    </w:p>
    <w:p w14:paraId="4F0A58B1">
      <w:pPr>
        <w:pStyle w:val="26"/>
        <w:spacing w:before="75" w:beforeAutospacing="0" w:after="75" w:afterAutospacing="0" w:line="360" w:lineRule="atLeast"/>
        <w:ind w:left="540"/>
        <w:rPr>
          <w:rFonts w:eastAsia="宋体"/>
          <w:color w:val="auto"/>
          <w:u w:val="single"/>
        </w:rPr>
      </w:pPr>
      <w:r>
        <w:rPr>
          <w:rFonts w:hint="eastAsia"/>
          <w:color w:val="auto"/>
        </w:rPr>
        <w:t>2.2注册地址：</w:t>
      </w:r>
      <w:r>
        <w:rPr>
          <w:rFonts w:hint="eastAsia"/>
          <w:color w:val="auto"/>
          <w:u w:val="single"/>
        </w:rPr>
        <w:t>                              </w:t>
      </w:r>
    </w:p>
    <w:p w14:paraId="4B5555B3">
      <w:pPr>
        <w:pStyle w:val="26"/>
        <w:spacing w:before="75" w:beforeAutospacing="0" w:after="75" w:afterAutospacing="0" w:line="360" w:lineRule="atLeast"/>
        <w:ind w:left="540"/>
        <w:rPr>
          <w:color w:val="auto"/>
        </w:rPr>
      </w:pPr>
      <w:r>
        <w:rPr>
          <w:rFonts w:hint="eastAsia"/>
          <w:color w:val="auto"/>
        </w:rPr>
        <w:t>2.3单位负责人姓名：</w:t>
      </w:r>
      <w:r>
        <w:rPr>
          <w:rFonts w:hint="eastAsia"/>
          <w:color w:val="auto"/>
          <w:u w:val="single"/>
        </w:rPr>
        <w:t>        </w:t>
      </w:r>
      <w:r>
        <w:rPr>
          <w:rFonts w:hint="eastAsia"/>
          <w:color w:val="auto"/>
        </w:rPr>
        <w:t>性别：</w:t>
      </w:r>
      <w:r>
        <w:rPr>
          <w:rFonts w:hint="eastAsia"/>
          <w:color w:val="auto"/>
          <w:u w:val="single"/>
        </w:rPr>
        <w:t>     </w:t>
      </w:r>
      <w:r>
        <w:rPr>
          <w:rFonts w:hint="eastAsia"/>
          <w:color w:val="auto"/>
        </w:rPr>
        <w:t>年龄：</w:t>
      </w:r>
      <w:r>
        <w:rPr>
          <w:rFonts w:hint="eastAsia"/>
          <w:color w:val="auto"/>
          <w:u w:val="single"/>
        </w:rPr>
        <w:t>     </w:t>
      </w:r>
      <w:r>
        <w:rPr>
          <w:rFonts w:hint="eastAsia"/>
          <w:color w:val="auto"/>
        </w:rPr>
        <w:t>职务：</w:t>
      </w:r>
      <w:r>
        <w:rPr>
          <w:rFonts w:hint="eastAsia"/>
          <w:color w:val="auto"/>
          <w:u w:val="single"/>
        </w:rPr>
        <w:t>      </w:t>
      </w:r>
      <w:r>
        <w:rPr>
          <w:rFonts w:hint="eastAsia"/>
          <w:color w:val="auto"/>
        </w:rPr>
        <w:t>。</w:t>
      </w:r>
    </w:p>
    <w:p w14:paraId="0F8C79A1">
      <w:pPr>
        <w:pStyle w:val="26"/>
        <w:spacing w:before="75" w:beforeAutospacing="0" w:after="75" w:afterAutospacing="0" w:line="435" w:lineRule="atLeast"/>
        <w:ind w:firstLine="480"/>
        <w:rPr>
          <w:color w:val="auto"/>
        </w:rPr>
      </w:pPr>
      <w:r>
        <w:rPr>
          <w:rFonts w:hint="eastAsia"/>
          <w:color w:val="auto"/>
        </w:rPr>
        <w:t>备注：“单位负责人”指单位法定代表人（供应商为法人的）或法律、法规规定代表单位行使职权的主要负责人（供应商为其他组织的）。</w:t>
      </w:r>
    </w:p>
    <w:p w14:paraId="19A78946">
      <w:pPr>
        <w:pStyle w:val="26"/>
        <w:spacing w:before="75" w:beforeAutospacing="0" w:after="75" w:afterAutospacing="0" w:line="435" w:lineRule="atLeast"/>
        <w:ind w:firstLine="480"/>
        <w:rPr>
          <w:color w:val="auto"/>
        </w:rPr>
      </w:pPr>
      <w:r>
        <w:rPr>
          <w:rFonts w:hint="eastAsia"/>
          <w:color w:val="auto"/>
        </w:rPr>
        <w:t>对于接受联合体形式的磋商且供应商是联合体的，则联合体各成员都应当提交本资格证明文件。</w:t>
      </w:r>
    </w:p>
    <w:p w14:paraId="10A9CA7C">
      <w:pPr>
        <w:pStyle w:val="26"/>
        <w:spacing w:before="75" w:beforeAutospacing="0" w:after="75" w:afterAutospacing="0" w:line="435" w:lineRule="atLeast"/>
        <w:rPr>
          <w:color w:val="auto"/>
        </w:rPr>
      </w:pPr>
      <w:r>
        <w:rPr>
          <w:rFonts w:hint="eastAsia"/>
          <w:color w:val="auto"/>
        </w:rPr>
        <w:t> </w:t>
      </w:r>
    </w:p>
    <w:p w14:paraId="7BF83465">
      <w:pPr>
        <w:pStyle w:val="26"/>
        <w:spacing w:before="75" w:beforeAutospacing="0" w:after="75" w:afterAutospacing="0" w:line="435" w:lineRule="atLeast"/>
        <w:rPr>
          <w:color w:val="auto"/>
        </w:rPr>
      </w:pPr>
      <w:r>
        <w:rPr>
          <w:rFonts w:hint="eastAsia"/>
          <w:color w:val="auto"/>
        </w:rPr>
        <w:t> </w:t>
      </w:r>
    </w:p>
    <w:p w14:paraId="75E33F4A">
      <w:pPr>
        <w:pStyle w:val="26"/>
        <w:spacing w:before="75" w:beforeAutospacing="0" w:after="75" w:afterAutospacing="0" w:line="435" w:lineRule="atLeast"/>
        <w:jc w:val="both"/>
        <w:rPr>
          <w:color w:val="auto"/>
        </w:rPr>
      </w:pPr>
      <w:r>
        <w:rPr>
          <w:rFonts w:hint="eastAsia"/>
          <w:color w:val="auto"/>
        </w:rPr>
        <w:t>供应商代表：</w:t>
      </w:r>
      <w:r>
        <w:rPr>
          <w:rFonts w:hint="eastAsia"/>
          <w:color w:val="auto"/>
          <w:u w:val="single"/>
        </w:rPr>
        <w:t>             （签字） </w:t>
      </w:r>
    </w:p>
    <w:p w14:paraId="265C481C">
      <w:pPr>
        <w:pStyle w:val="26"/>
        <w:spacing w:before="75" w:beforeAutospacing="0" w:after="75" w:afterAutospacing="0" w:line="435" w:lineRule="atLeast"/>
        <w:jc w:val="both"/>
        <w:rPr>
          <w:color w:val="auto"/>
        </w:rPr>
      </w:pPr>
      <w:r>
        <w:rPr>
          <w:rFonts w:hint="eastAsia"/>
          <w:color w:val="auto"/>
        </w:rPr>
        <w:t>供应商名称：</w:t>
      </w:r>
      <w:r>
        <w:rPr>
          <w:rFonts w:hint="eastAsia"/>
          <w:color w:val="auto"/>
          <w:u w:val="single"/>
        </w:rPr>
        <w:t>         （全称并加盖公章）</w:t>
      </w:r>
    </w:p>
    <w:p w14:paraId="1CE89B5C">
      <w:pPr>
        <w:pStyle w:val="26"/>
        <w:spacing w:before="75" w:beforeAutospacing="0" w:after="75" w:afterAutospacing="0" w:line="435" w:lineRule="atLeast"/>
        <w:rPr>
          <w:color w:val="auto"/>
        </w:rPr>
      </w:pPr>
      <w:r>
        <w:rPr>
          <w:rFonts w:hint="eastAsia"/>
          <w:color w:val="auto"/>
        </w:rPr>
        <w:t>日  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582E8F07">
      <w:pPr>
        <w:pStyle w:val="26"/>
        <w:spacing w:before="75" w:beforeAutospacing="0" w:after="75" w:afterAutospacing="0" w:line="435" w:lineRule="atLeast"/>
        <w:rPr>
          <w:color w:val="auto"/>
        </w:rPr>
      </w:pPr>
      <w:r>
        <w:rPr>
          <w:rFonts w:hint="eastAsia"/>
          <w:color w:val="auto"/>
        </w:rPr>
        <w:t> </w:t>
      </w:r>
    </w:p>
    <w:p w14:paraId="1E6C9FD6">
      <w:pPr>
        <w:pStyle w:val="26"/>
        <w:spacing w:before="75" w:beforeAutospacing="0" w:after="75" w:afterAutospacing="0"/>
        <w:rPr>
          <w:color w:val="auto"/>
        </w:rPr>
      </w:pPr>
      <w:r>
        <w:rPr>
          <w:rFonts w:hint="eastAsia"/>
          <w:color w:val="auto"/>
        </w:rPr>
        <w:t>                            </w:t>
      </w:r>
    </w:p>
    <w:p w14:paraId="0BC702BF">
      <w:pPr>
        <w:pStyle w:val="26"/>
        <w:spacing w:before="75" w:beforeAutospacing="0" w:after="75" w:afterAutospacing="0" w:line="375" w:lineRule="atLeast"/>
        <w:rPr>
          <w:color w:val="auto"/>
        </w:rPr>
      </w:pPr>
      <w:r>
        <w:rPr>
          <w:color w:val="auto"/>
        </w:rPr>
        <w:t> </w:t>
      </w:r>
    </w:p>
    <w:p w14:paraId="3A3488A7">
      <w:pPr>
        <w:pStyle w:val="26"/>
        <w:spacing w:before="75" w:beforeAutospacing="0" w:after="75" w:afterAutospacing="0" w:line="375" w:lineRule="atLeast"/>
        <w:rPr>
          <w:rFonts w:eastAsia="宋体"/>
          <w:color w:val="auto"/>
        </w:rPr>
      </w:pPr>
    </w:p>
    <w:p w14:paraId="51484F48">
      <w:pPr>
        <w:pStyle w:val="26"/>
        <w:spacing w:before="75" w:beforeAutospacing="0" w:after="75" w:afterAutospacing="0" w:line="375" w:lineRule="atLeast"/>
        <w:rPr>
          <w:color w:val="auto"/>
        </w:rPr>
      </w:pPr>
      <w:r>
        <w:rPr>
          <w:color w:val="auto"/>
        </w:rPr>
        <w:br w:type="page"/>
      </w:r>
      <w:r>
        <w:rPr>
          <w:rFonts w:hint="eastAsia"/>
          <w:color w:val="auto"/>
        </w:rPr>
        <w:t>附件3-2        </w:t>
      </w:r>
      <w:r>
        <w:rPr>
          <w:rStyle w:val="34"/>
          <w:rFonts w:hint="eastAsia"/>
          <w:color w:val="auto"/>
        </w:rPr>
        <w:t>供应商的资格声明</w:t>
      </w:r>
      <w:r>
        <w:rPr>
          <w:rFonts w:hint="eastAsia"/>
          <w:color w:val="auto"/>
        </w:rPr>
        <w:t> </w:t>
      </w:r>
    </w:p>
    <w:p w14:paraId="061FF999">
      <w:pPr>
        <w:pStyle w:val="26"/>
        <w:spacing w:before="75" w:beforeAutospacing="0" w:after="75" w:afterAutospacing="0" w:line="375" w:lineRule="atLeast"/>
        <w:jc w:val="both"/>
        <w:rPr>
          <w:color w:val="auto"/>
        </w:rPr>
      </w:pPr>
      <w:r>
        <w:rPr>
          <w:rFonts w:hint="eastAsia"/>
          <w:color w:val="auto"/>
        </w:rPr>
        <w:t>致：</w:t>
      </w:r>
      <w:r>
        <w:rPr>
          <w:rFonts w:hint="eastAsia"/>
          <w:color w:val="auto"/>
          <w:u w:val="single"/>
        </w:rPr>
        <w:t>     (采购人或采购代理机构)       </w:t>
      </w:r>
    </w:p>
    <w:p w14:paraId="6D789B87">
      <w:pPr>
        <w:pStyle w:val="26"/>
        <w:spacing w:before="75" w:beforeAutospacing="0" w:after="75" w:afterAutospacing="0" w:line="375" w:lineRule="atLeast"/>
        <w:jc w:val="both"/>
        <w:rPr>
          <w:color w:val="auto"/>
        </w:rPr>
      </w:pPr>
      <w:r>
        <w:rPr>
          <w:rStyle w:val="34"/>
          <w:rFonts w:hint="eastAsia"/>
          <w:color w:val="auto"/>
        </w:rPr>
        <w:t>1、</w:t>
      </w:r>
      <w:r>
        <w:rPr>
          <w:rFonts w:hint="eastAsia"/>
          <w:color w:val="auto"/>
        </w:rPr>
        <w:t>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31"/>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5640"/>
        <w:gridCol w:w="2880"/>
      </w:tblGrid>
      <w:tr w14:paraId="07EC9BB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ECB126">
            <w:pPr>
              <w:pStyle w:val="26"/>
              <w:spacing w:beforeAutospacing="0" w:afterAutospacing="0" w:line="375" w:lineRule="atLeast"/>
              <w:jc w:val="both"/>
              <w:rPr>
                <w:color w:val="auto"/>
              </w:rPr>
            </w:pPr>
            <w:r>
              <w:rPr>
                <w:rStyle w:val="34"/>
                <w:rFonts w:hint="eastAsia"/>
                <w:color w:val="auto"/>
              </w:rPr>
              <w:t>《中华人民共和国政府采购法》第二十二条对供应商的要求</w:t>
            </w:r>
          </w:p>
        </w:tc>
        <w:tc>
          <w:tcPr>
            <w:tcW w:w="288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970BB4">
            <w:pPr>
              <w:pStyle w:val="26"/>
              <w:spacing w:beforeAutospacing="0" w:afterAutospacing="0" w:line="375" w:lineRule="atLeast"/>
              <w:jc w:val="both"/>
              <w:rPr>
                <w:color w:val="auto"/>
              </w:rPr>
            </w:pPr>
            <w:r>
              <w:rPr>
                <w:rStyle w:val="34"/>
                <w:rFonts w:hint="eastAsia"/>
                <w:color w:val="auto"/>
              </w:rPr>
              <w:t>供应商对是否符合要求做如实声明</w:t>
            </w:r>
          </w:p>
        </w:tc>
      </w:tr>
      <w:tr w14:paraId="30D2F5A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7C26C1">
            <w:pPr>
              <w:pStyle w:val="26"/>
              <w:spacing w:beforeAutospacing="0" w:afterAutospacing="0" w:line="375" w:lineRule="atLeast"/>
              <w:jc w:val="both"/>
              <w:rPr>
                <w:color w:val="auto"/>
              </w:rPr>
            </w:pPr>
            <w:r>
              <w:rPr>
                <w:rFonts w:hint="eastAsia"/>
                <w:color w:val="auto"/>
              </w:rPr>
              <w:t>（1）具有独立承担民事责任的能力</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9A72FD">
            <w:pPr>
              <w:widowControl/>
              <w:jc w:val="left"/>
              <w:rPr>
                <w:color w:val="auto"/>
                <w:sz w:val="24"/>
              </w:rPr>
            </w:pPr>
          </w:p>
        </w:tc>
      </w:tr>
      <w:tr w14:paraId="5D8D860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2653E33">
            <w:pPr>
              <w:pStyle w:val="26"/>
              <w:spacing w:beforeAutospacing="0" w:afterAutospacing="0" w:line="375" w:lineRule="atLeast"/>
              <w:jc w:val="both"/>
              <w:rPr>
                <w:color w:val="auto"/>
              </w:rPr>
            </w:pPr>
            <w:r>
              <w:rPr>
                <w:rFonts w:hint="eastAsia"/>
                <w:color w:val="auto"/>
              </w:rPr>
              <w:t>（2）具有良好的商业信誉和健全的财务会计制度</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6737B1">
            <w:pPr>
              <w:widowControl/>
              <w:jc w:val="left"/>
              <w:rPr>
                <w:color w:val="auto"/>
                <w:sz w:val="24"/>
              </w:rPr>
            </w:pPr>
          </w:p>
        </w:tc>
      </w:tr>
      <w:tr w14:paraId="1FD1A44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263D17">
            <w:pPr>
              <w:pStyle w:val="26"/>
              <w:spacing w:beforeAutospacing="0" w:afterAutospacing="0" w:line="375" w:lineRule="atLeast"/>
              <w:jc w:val="both"/>
              <w:rPr>
                <w:color w:val="auto"/>
              </w:rPr>
            </w:pPr>
            <w:r>
              <w:rPr>
                <w:rFonts w:hint="eastAsia"/>
                <w:color w:val="auto"/>
              </w:rPr>
              <w:t>（3）具有履行合同所必需的设备和专业技术能力</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F166B2">
            <w:pPr>
              <w:widowControl/>
              <w:jc w:val="left"/>
              <w:rPr>
                <w:color w:val="auto"/>
                <w:sz w:val="24"/>
              </w:rPr>
            </w:pPr>
          </w:p>
        </w:tc>
      </w:tr>
      <w:tr w14:paraId="7390E0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79018C">
            <w:pPr>
              <w:pStyle w:val="26"/>
              <w:spacing w:beforeAutospacing="0" w:afterAutospacing="0" w:line="375" w:lineRule="atLeast"/>
              <w:jc w:val="both"/>
              <w:rPr>
                <w:color w:val="auto"/>
              </w:rPr>
            </w:pPr>
            <w:r>
              <w:rPr>
                <w:rFonts w:hint="eastAsia"/>
                <w:color w:val="auto"/>
              </w:rPr>
              <w:t>（4）有依法缴纳税收和社会保障资金的良好记录</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B67BD5">
            <w:pPr>
              <w:widowControl/>
              <w:jc w:val="left"/>
              <w:rPr>
                <w:color w:val="auto"/>
                <w:sz w:val="24"/>
              </w:rPr>
            </w:pPr>
          </w:p>
        </w:tc>
      </w:tr>
      <w:tr w14:paraId="0A0E37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1B80F5">
            <w:pPr>
              <w:pStyle w:val="26"/>
              <w:spacing w:beforeAutospacing="0" w:afterAutospacing="0" w:line="375" w:lineRule="atLeast"/>
              <w:jc w:val="both"/>
              <w:rPr>
                <w:color w:val="auto"/>
              </w:rPr>
            </w:pPr>
            <w:r>
              <w:rPr>
                <w:rFonts w:hint="eastAsia"/>
                <w:color w:val="auto"/>
              </w:rPr>
              <w:t>（5）参加政府采购活动前三年内，在经营活动中没有重大违法记录</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1309DD">
            <w:pPr>
              <w:widowControl/>
              <w:jc w:val="left"/>
              <w:rPr>
                <w:color w:val="auto"/>
                <w:sz w:val="24"/>
              </w:rPr>
            </w:pPr>
          </w:p>
        </w:tc>
      </w:tr>
      <w:tr w14:paraId="55038D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9C4C62">
            <w:pPr>
              <w:pStyle w:val="26"/>
              <w:spacing w:beforeAutospacing="0" w:afterAutospacing="0" w:line="375" w:lineRule="atLeast"/>
              <w:jc w:val="both"/>
              <w:rPr>
                <w:color w:val="auto"/>
              </w:rPr>
            </w:pPr>
            <w:r>
              <w:rPr>
                <w:rFonts w:hint="eastAsia"/>
                <w:color w:val="auto"/>
              </w:rPr>
              <w:t>（6）法律、行政法规规定的其他条件。</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BDB75B">
            <w:pPr>
              <w:widowControl/>
              <w:jc w:val="left"/>
              <w:rPr>
                <w:color w:val="auto"/>
                <w:sz w:val="24"/>
              </w:rPr>
            </w:pPr>
          </w:p>
        </w:tc>
      </w:tr>
      <w:tr w14:paraId="551540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29084E">
            <w:pPr>
              <w:pStyle w:val="26"/>
              <w:spacing w:beforeAutospacing="0" w:afterAutospacing="0" w:line="375" w:lineRule="atLeast"/>
              <w:jc w:val="both"/>
              <w:rPr>
                <w:color w:val="auto"/>
              </w:rPr>
            </w:pPr>
            <w:r>
              <w:rPr>
                <w:rStyle w:val="34"/>
                <w:rFonts w:hint="eastAsia"/>
                <w:color w:val="auto"/>
              </w:rPr>
              <w:t>磋商文件对合格供应商的一般规定</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1B4199">
            <w:pPr>
              <w:pStyle w:val="26"/>
              <w:spacing w:beforeAutospacing="0" w:afterAutospacing="0" w:line="375" w:lineRule="atLeast"/>
              <w:jc w:val="both"/>
              <w:rPr>
                <w:color w:val="auto"/>
              </w:rPr>
            </w:pPr>
            <w:r>
              <w:rPr>
                <w:rStyle w:val="34"/>
                <w:rFonts w:hint="eastAsia"/>
                <w:color w:val="auto"/>
              </w:rPr>
              <w:t>供应商对是否违反一般规定做如实声明</w:t>
            </w:r>
          </w:p>
        </w:tc>
      </w:tr>
      <w:tr w14:paraId="290DD79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116D61">
            <w:pPr>
              <w:pStyle w:val="26"/>
              <w:spacing w:beforeAutospacing="0" w:afterAutospacing="0" w:line="375" w:lineRule="atLeast"/>
              <w:jc w:val="both"/>
              <w:rPr>
                <w:color w:val="auto"/>
              </w:rPr>
            </w:pPr>
            <w:r>
              <w:rPr>
                <w:rFonts w:hint="eastAsia"/>
                <w:color w:val="auto"/>
              </w:rPr>
              <w:t>供应商应当遵守中国的有关法律、法规和规章的规定，参加政府采购活动时已经自觉检查并按照政府采购相关法律规定，主动回避相应利害关系。</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B758E7">
            <w:pPr>
              <w:widowControl/>
              <w:jc w:val="left"/>
              <w:rPr>
                <w:color w:val="auto"/>
                <w:sz w:val="24"/>
              </w:rPr>
            </w:pPr>
          </w:p>
        </w:tc>
      </w:tr>
      <w:tr w14:paraId="789ADB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59C8AF">
            <w:pPr>
              <w:pStyle w:val="26"/>
              <w:spacing w:beforeAutospacing="0" w:afterAutospacing="0" w:line="375" w:lineRule="atLeast"/>
              <w:jc w:val="both"/>
              <w:rPr>
                <w:color w:val="auto"/>
              </w:rPr>
            </w:pPr>
            <w:r>
              <w:rPr>
                <w:rFonts w:hint="eastAsia"/>
                <w:color w:val="auto"/>
              </w:rPr>
              <w:t>为采购项目提供整体设计、规范编制或项目管理、监理、检测等服务的供应商，不得再参加该采购项目除整体设计、规范编制和项目管理、监理、检测等服务之外的其他采购活动。</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B0CF90">
            <w:pPr>
              <w:widowControl/>
              <w:jc w:val="left"/>
              <w:rPr>
                <w:color w:val="auto"/>
                <w:sz w:val="24"/>
              </w:rPr>
            </w:pPr>
          </w:p>
        </w:tc>
      </w:tr>
      <w:tr w14:paraId="6A37575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564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4151FC">
            <w:pPr>
              <w:pStyle w:val="26"/>
              <w:spacing w:beforeAutospacing="0" w:afterAutospacing="0" w:line="375" w:lineRule="atLeast"/>
              <w:jc w:val="both"/>
              <w:rPr>
                <w:color w:val="auto"/>
              </w:rPr>
            </w:pPr>
            <w:r>
              <w:rPr>
                <w:rFonts w:hint="eastAsia"/>
                <w:color w:val="auto"/>
              </w:rPr>
              <w:t>列入失信被执行人、重大税收违法案件当事人名单、政府采购严重违法失信行为记录名单的供应商，不得参加政府采购活动。</w:t>
            </w:r>
          </w:p>
        </w:tc>
        <w:tc>
          <w:tcPr>
            <w:tcW w:w="28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6B3FAB">
            <w:pPr>
              <w:widowControl/>
              <w:jc w:val="left"/>
              <w:rPr>
                <w:color w:val="auto"/>
                <w:sz w:val="24"/>
              </w:rPr>
            </w:pPr>
          </w:p>
        </w:tc>
      </w:tr>
    </w:tbl>
    <w:p w14:paraId="181C14F2">
      <w:pPr>
        <w:pStyle w:val="26"/>
        <w:spacing w:before="75" w:beforeAutospacing="0" w:after="75" w:afterAutospacing="0" w:line="375" w:lineRule="atLeast"/>
        <w:ind w:firstLine="480"/>
        <w:jc w:val="both"/>
        <w:rPr>
          <w:color w:val="auto"/>
        </w:rPr>
      </w:pPr>
      <w:r>
        <w:rPr>
          <w:rFonts w:hint="eastAsia"/>
          <w:color w:val="auto"/>
        </w:rPr>
        <w:t>2、我方对上述声明的真实性、合法性、准确性、有效性负责，并愿意根据磋商文件和磋商过程中贵方要求提供全部现有资料、数据、文件等予以证实。</w:t>
      </w:r>
    </w:p>
    <w:p w14:paraId="44A47C22">
      <w:pPr>
        <w:pStyle w:val="26"/>
        <w:spacing w:before="75" w:beforeAutospacing="0" w:after="75" w:afterAutospacing="0" w:line="435" w:lineRule="atLeast"/>
        <w:ind w:firstLine="480"/>
        <w:rPr>
          <w:color w:val="auto"/>
        </w:rPr>
      </w:pPr>
      <w:r>
        <w:rPr>
          <w:rFonts w:hint="eastAsia"/>
          <w:color w:val="auto"/>
        </w:rPr>
        <w:t>备注：对于接受联合体形式的磋商且供应商是联合体的，则联合体各成员都应当提交本资格证明文件。</w:t>
      </w:r>
    </w:p>
    <w:p w14:paraId="686FE357">
      <w:pPr>
        <w:pStyle w:val="26"/>
        <w:spacing w:before="75" w:beforeAutospacing="0" w:after="75" w:afterAutospacing="0" w:line="375" w:lineRule="atLeast"/>
        <w:jc w:val="both"/>
        <w:rPr>
          <w:color w:val="auto"/>
        </w:rPr>
      </w:pPr>
      <w:r>
        <w:rPr>
          <w:rFonts w:hint="eastAsia"/>
          <w:color w:val="auto"/>
        </w:rPr>
        <w:t>供应商代表：</w:t>
      </w:r>
      <w:r>
        <w:rPr>
          <w:rFonts w:hint="eastAsia"/>
          <w:color w:val="auto"/>
          <w:u w:val="single"/>
        </w:rPr>
        <w:t>             （签字） </w:t>
      </w:r>
    </w:p>
    <w:p w14:paraId="1B26259F">
      <w:pPr>
        <w:pStyle w:val="26"/>
        <w:spacing w:before="75" w:beforeAutospacing="0" w:after="75" w:afterAutospacing="0" w:line="375" w:lineRule="atLeast"/>
        <w:jc w:val="both"/>
        <w:rPr>
          <w:color w:val="auto"/>
        </w:rPr>
      </w:pPr>
      <w:r>
        <w:rPr>
          <w:rFonts w:hint="eastAsia"/>
          <w:color w:val="auto"/>
        </w:rPr>
        <w:t>供应商名称：</w:t>
      </w:r>
      <w:r>
        <w:rPr>
          <w:rFonts w:hint="eastAsia"/>
          <w:color w:val="auto"/>
          <w:u w:val="single"/>
        </w:rPr>
        <w:t>    （全称并加盖公章）</w:t>
      </w:r>
    </w:p>
    <w:p w14:paraId="37055BC7">
      <w:pPr>
        <w:pStyle w:val="26"/>
        <w:spacing w:before="75" w:beforeAutospacing="0" w:after="75" w:afterAutospacing="0" w:line="375" w:lineRule="atLeast"/>
        <w:rPr>
          <w:color w:val="auto"/>
        </w:rPr>
      </w:pPr>
      <w:r>
        <w:rPr>
          <w:rFonts w:hint="eastAsia"/>
          <w:color w:val="auto"/>
        </w:rPr>
        <w:t>日  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12B18423">
      <w:pPr>
        <w:pStyle w:val="26"/>
        <w:spacing w:before="75" w:beforeAutospacing="0" w:after="240" w:afterAutospacing="0"/>
        <w:rPr>
          <w:color w:val="auto"/>
        </w:rPr>
      </w:pPr>
    </w:p>
    <w:p w14:paraId="6DFB6D1E">
      <w:pPr>
        <w:pStyle w:val="26"/>
        <w:spacing w:before="75" w:beforeAutospacing="0" w:after="240" w:afterAutospacing="0"/>
        <w:rPr>
          <w:color w:val="auto"/>
        </w:rPr>
      </w:pPr>
    </w:p>
    <w:p w14:paraId="4084F605">
      <w:pPr>
        <w:pStyle w:val="48"/>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附件3-3 单位负责人授权书</w:t>
      </w:r>
    </w:p>
    <w:p w14:paraId="109CE29D">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p>
    <w:p w14:paraId="20FD130B">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6443D73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我方的单位负责人</w:t>
      </w:r>
      <w:r>
        <w:rPr>
          <w:rFonts w:hint="eastAsia" w:ascii="宋体" w:hAnsi="宋体" w:eastAsia="宋体" w:cs="宋体"/>
          <w:color w:val="auto"/>
          <w:sz w:val="24"/>
          <w:szCs w:val="24"/>
          <w:u w:val="single"/>
        </w:rPr>
        <w:t xml:space="preserve">（填写“单位负责人全名”） </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（填写“供应商代表全名”）</w:t>
      </w:r>
      <w:r>
        <w:rPr>
          <w:rFonts w:hint="eastAsia" w:ascii="宋体" w:hAnsi="宋体" w:eastAsia="宋体" w:cs="宋体"/>
          <w:color w:val="auto"/>
          <w:sz w:val="24"/>
          <w:szCs w:val="24"/>
        </w:rPr>
        <w:t>为我方的供应商代表，代表我方参加</w:t>
      </w:r>
      <w:r>
        <w:rPr>
          <w:rFonts w:hint="eastAsia" w:ascii="宋体" w:hAnsi="宋体" w:eastAsia="宋体" w:cs="宋体"/>
          <w:color w:val="auto"/>
          <w:sz w:val="24"/>
          <w:szCs w:val="24"/>
          <w:u w:val="single"/>
        </w:rPr>
        <w:t>（填写“项目名称”）</w:t>
      </w:r>
      <w:r>
        <w:rPr>
          <w:rFonts w:hint="eastAsia" w:ascii="宋体" w:hAnsi="宋体" w:eastAsia="宋体" w:cs="宋体"/>
          <w:color w:val="auto"/>
          <w:sz w:val="24"/>
          <w:szCs w:val="24"/>
        </w:rPr>
        <w:t>项目（项目编号：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6DDE4899">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供应商代表无转委权。特此授权。</w:t>
      </w:r>
    </w:p>
    <w:p w14:paraId="0EA26616">
      <w:pPr>
        <w:pStyle w:val="48"/>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（以下无正文）</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4B9FC3D1">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单位负责人：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手机：</w:t>
      </w:r>
      <w:r>
        <w:rPr>
          <w:rFonts w:hint="eastAsia" w:ascii="宋体" w:hAnsi="宋体" w:eastAsia="宋体" w:cs="宋体"/>
          <w:color w:val="auto"/>
          <w:sz w:val="24"/>
          <w:szCs w:val="24"/>
          <w:u w:val="single"/>
        </w:rPr>
        <w:t>　　　　　</w:t>
      </w:r>
    </w:p>
    <w:p w14:paraId="726C6DE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手机：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br w:type="textWrapping"/>
      </w:r>
    </w:p>
    <w:p w14:paraId="0734976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授权方</w:t>
      </w:r>
    </w:p>
    <w:p w14:paraId="3F40956A">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（全称并加盖单位公章）</w:t>
      </w:r>
    </w:p>
    <w:p w14:paraId="082A335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单位负责人签字或盖章：</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br w:type="textWrapping"/>
      </w:r>
    </w:p>
    <w:p w14:paraId="1803C9E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接受授权方</w:t>
      </w:r>
    </w:p>
    <w:p w14:paraId="12BDC53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u w:val="single"/>
        </w:rPr>
        <w:t>　　　　　　　　　　</w:t>
      </w:r>
    </w:p>
    <w:p w14:paraId="147C0F80">
      <w:pPr>
        <w:pStyle w:val="48"/>
        <w:keepNext w:val="0"/>
        <w:keepLines w:val="0"/>
        <w:pageBreakBefore w:val="0"/>
        <w:kinsoku/>
        <w:wordWrap/>
        <w:overflowPunct/>
        <w:topLinePunct w:val="0"/>
        <w:autoSpaceDE/>
        <w:autoSpaceDN/>
        <w:bidi w:val="0"/>
        <w:spacing w:line="360" w:lineRule="auto"/>
        <w:ind w:firstLine="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签署日期：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38FEE969">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附：单位负责人、供应商代表的身份证正反面复印件</w:t>
      </w:r>
    </w:p>
    <w:p w14:paraId="5349D61A">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要求：真实、有效、清晰</w:t>
      </w:r>
    </w:p>
    <w:p w14:paraId="2D8CED1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29BF2F0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1、企业（银行、保险、石油石化、电力、电信等行业除外）、事业单位和社会团体法人的“单位负责人”指法定代表人，即与实际提交的“营业执照等证明文件”载明的一致。</w:t>
      </w:r>
    </w:p>
    <w:p w14:paraId="2DF3093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51DCA4F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7EB8D77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4、对于接受联合体形式的磋商且供应商是联合体的，则只需要联合体的牵头方提交本授权书，在纸质响应文件正本中的本授权书应为原件</w:t>
      </w:r>
    </w:p>
    <w:p w14:paraId="5C6E0810">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6C05755F">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附件3-4 营业执照等证明文件</w:t>
      </w:r>
    </w:p>
    <w:p w14:paraId="486EDC9A">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p>
    <w:p w14:paraId="21B05048">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2FF2E0B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）供应商为法人（包括企业、事业单位和社会团体）的</w:t>
      </w:r>
    </w:p>
    <w:p w14:paraId="60F5814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现附上由</w:t>
      </w:r>
      <w:r>
        <w:rPr>
          <w:rFonts w:hint="eastAsia" w:ascii="宋体" w:hAnsi="宋体" w:eastAsia="宋体" w:cs="宋体"/>
          <w:color w:val="auto"/>
          <w:sz w:val="24"/>
          <w:szCs w:val="24"/>
          <w:u w:val="single"/>
        </w:rPr>
        <w:t>（填写“签发机关全称”）</w:t>
      </w:r>
      <w:r>
        <w:rPr>
          <w:rFonts w:hint="eastAsia" w:ascii="宋体" w:hAnsi="宋体" w:eastAsia="宋体" w:cs="宋体"/>
          <w:color w:val="auto"/>
          <w:sz w:val="24"/>
          <w:szCs w:val="24"/>
        </w:rPr>
        <w:t>签发的我方统一社会信用代码</w:t>
      </w:r>
      <w:r>
        <w:rPr>
          <w:rFonts w:hint="eastAsia" w:ascii="宋体" w:hAnsi="宋体" w:eastAsia="宋体" w:cs="宋体"/>
          <w:color w:val="auto"/>
          <w:sz w:val="24"/>
          <w:szCs w:val="24"/>
          <w:u w:val="single"/>
        </w:rPr>
        <w:t>（请填写法人的具体证照名称）</w:t>
      </w:r>
      <w:r>
        <w:rPr>
          <w:rFonts w:hint="eastAsia" w:ascii="宋体" w:hAnsi="宋体" w:eastAsia="宋体" w:cs="宋体"/>
          <w:color w:val="auto"/>
          <w:sz w:val="24"/>
          <w:szCs w:val="24"/>
        </w:rPr>
        <w:t>复印件，该证明材料真实有效，否则我方负全部责任。</w:t>
      </w:r>
    </w:p>
    <w:p w14:paraId="36E95C7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）供应商为非法人（包括其他组织、自然人）的</w:t>
      </w:r>
    </w:p>
    <w:p w14:paraId="7EF8F63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□现附上由</w:t>
      </w:r>
      <w:r>
        <w:rPr>
          <w:rFonts w:hint="eastAsia" w:ascii="宋体" w:hAnsi="宋体" w:eastAsia="宋体" w:cs="宋体"/>
          <w:color w:val="auto"/>
          <w:sz w:val="24"/>
          <w:szCs w:val="24"/>
          <w:u w:val="single"/>
        </w:rPr>
        <w:t>（填写“签发机关全称”）</w:t>
      </w:r>
      <w:r>
        <w:rPr>
          <w:rFonts w:hint="eastAsia" w:ascii="宋体" w:hAnsi="宋体" w:eastAsia="宋体" w:cs="宋体"/>
          <w:color w:val="auto"/>
          <w:sz w:val="24"/>
          <w:szCs w:val="24"/>
        </w:rPr>
        <w:t>签发的我方统一社会信用代码</w:t>
      </w:r>
      <w:r>
        <w:rPr>
          <w:rFonts w:hint="eastAsia" w:ascii="宋体" w:hAnsi="宋体" w:eastAsia="宋体" w:cs="宋体"/>
          <w:color w:val="auto"/>
          <w:sz w:val="24"/>
          <w:szCs w:val="24"/>
          <w:u w:val="single"/>
        </w:rPr>
        <w:t>（请填写非自然人的非法人的具体证照名称）</w:t>
      </w:r>
      <w:r>
        <w:rPr>
          <w:rFonts w:hint="eastAsia" w:ascii="宋体" w:hAnsi="宋体" w:eastAsia="宋体" w:cs="宋体"/>
          <w:color w:val="auto"/>
          <w:sz w:val="24"/>
          <w:szCs w:val="24"/>
        </w:rPr>
        <w:t>复印件，该证明材料真实有效，否则我方负全部责任。</w:t>
      </w:r>
    </w:p>
    <w:p w14:paraId="7B1DF42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□现附上由</w:t>
      </w:r>
      <w:r>
        <w:rPr>
          <w:rFonts w:hint="eastAsia" w:ascii="宋体" w:hAnsi="宋体" w:eastAsia="宋体" w:cs="宋体"/>
          <w:color w:val="auto"/>
          <w:sz w:val="24"/>
          <w:szCs w:val="24"/>
          <w:u w:val="single"/>
        </w:rPr>
        <w:t>（填写“签发机关全称”）</w:t>
      </w:r>
      <w:r>
        <w:rPr>
          <w:rFonts w:hint="eastAsia" w:ascii="宋体" w:hAnsi="宋体" w:eastAsia="宋体" w:cs="宋体"/>
          <w:color w:val="auto"/>
          <w:sz w:val="24"/>
          <w:szCs w:val="24"/>
        </w:rPr>
        <w:t>签发的我方统一社会信用代码</w:t>
      </w:r>
      <w:r>
        <w:rPr>
          <w:rFonts w:hint="eastAsia" w:ascii="宋体" w:hAnsi="宋体" w:eastAsia="宋体" w:cs="宋体"/>
          <w:color w:val="auto"/>
          <w:sz w:val="24"/>
          <w:szCs w:val="24"/>
          <w:u w:val="single"/>
        </w:rPr>
        <w:t>（请填写自然人的身份证件名称）</w:t>
      </w:r>
      <w:r>
        <w:rPr>
          <w:rFonts w:hint="eastAsia" w:ascii="宋体" w:hAnsi="宋体" w:eastAsia="宋体" w:cs="宋体"/>
          <w:color w:val="auto"/>
          <w:sz w:val="24"/>
          <w:szCs w:val="24"/>
        </w:rPr>
        <w:t>复印件，该证明材料真实有效，否则我方负全部责任。</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6220671A">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59F2F37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1、请供应商根据实际情况填写，在相应的（）中打“√”并选择相应的“□”（若有）后，再按照本格式的要求提供相应证明材料的复印件。</w:t>
      </w:r>
    </w:p>
    <w:p w14:paraId="09E67435">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3469D9A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3、对于接受联合体形式的磋商且供应商是联合体的，则联合体各成员都应当提交本资格证明文件。</w:t>
      </w:r>
      <w:r>
        <w:rPr>
          <w:rFonts w:hint="eastAsia" w:ascii="宋体" w:hAnsi="宋体" w:eastAsia="宋体" w:cs="宋体"/>
          <w:color w:val="auto"/>
          <w:sz w:val="24"/>
          <w:szCs w:val="24"/>
        </w:rPr>
        <w:br w:type="textWrapping"/>
      </w:r>
    </w:p>
    <w:p w14:paraId="7805411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2FFD091D">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526E0B16">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42DA9B16">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094B63D6">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附件3-5 财务状况报告</w:t>
      </w:r>
    </w:p>
    <w:p w14:paraId="02056972">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p>
    <w:p w14:paraId="270EE337">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7ABECA6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）供应商提供财务报告的</w:t>
      </w:r>
    </w:p>
    <w:p w14:paraId="047E66F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□企业适用：现附上我方</w:t>
      </w:r>
      <w:r>
        <w:rPr>
          <w:rFonts w:hint="eastAsia" w:ascii="宋体" w:hAnsi="宋体" w:eastAsia="宋体" w:cs="宋体"/>
          <w:color w:val="auto"/>
          <w:sz w:val="24"/>
          <w:szCs w:val="24"/>
          <w:u w:val="single"/>
        </w:rPr>
        <w:t>（填写“具体的年度、或半年度、或季度”）</w:t>
      </w:r>
      <w:r>
        <w:rPr>
          <w:rFonts w:hint="eastAsia" w:ascii="宋体" w:hAnsi="宋体" w:eastAsia="宋体" w:cs="宋体"/>
          <w:color w:val="auto"/>
          <w:sz w:val="24"/>
          <w:szCs w:val="24"/>
        </w:rPr>
        <w:t>财务报告复印件，包括资产负债表、利润表、现金流量表、所有者权益变动表及其附注（若有）、会计师事务所营业执照和注册会计师资格证书，上述证明材料真实有效，否则我方负全部责任。</w:t>
      </w:r>
    </w:p>
    <w:p w14:paraId="6D529CAA">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□事业单位适用：现附上我方</w:t>
      </w:r>
      <w:r>
        <w:rPr>
          <w:rFonts w:hint="eastAsia" w:ascii="宋体" w:hAnsi="宋体" w:eastAsia="宋体" w:cs="宋体"/>
          <w:color w:val="auto"/>
          <w:sz w:val="24"/>
          <w:szCs w:val="24"/>
          <w:u w:val="single"/>
        </w:rPr>
        <w:t>（填写“具体的年度、或半年度、或季度”）</w:t>
      </w:r>
      <w:r>
        <w:rPr>
          <w:rFonts w:hint="eastAsia" w:ascii="宋体" w:hAnsi="宋体" w:eastAsia="宋体" w:cs="宋体"/>
          <w:color w:val="auto"/>
          <w:sz w:val="24"/>
          <w:szCs w:val="24"/>
        </w:rPr>
        <w:t>财务报告复印件，包括资产负债表、收入支出表或收入费用表、财政补助收入支出表（若有）、会计师事务所营业执照和注册会计师资格证书，上述证明材料真实有效，否则我方负全部责任。</w:t>
      </w:r>
    </w:p>
    <w:p w14:paraId="0FC76C06">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□社会团体、民办非企单位适用：现附上我方</w:t>
      </w:r>
      <w:r>
        <w:rPr>
          <w:rFonts w:hint="eastAsia" w:ascii="宋体" w:hAnsi="宋体" w:eastAsia="宋体" w:cs="宋体"/>
          <w:color w:val="auto"/>
          <w:sz w:val="24"/>
          <w:szCs w:val="24"/>
          <w:u w:val="single"/>
        </w:rPr>
        <w:t>（填写“具体的年度、或半年度、或季度”）</w:t>
      </w:r>
      <w:r>
        <w:rPr>
          <w:rFonts w:hint="eastAsia" w:ascii="宋体" w:hAnsi="宋体" w:eastAsia="宋体" w:cs="宋体"/>
          <w:color w:val="auto"/>
          <w:sz w:val="24"/>
          <w:szCs w:val="24"/>
        </w:rPr>
        <w:t>财务报告复印件，包括资产负债表、业务活动表、现金流量表、会计师事务所营业执照和注册会计师资格证书，上述证明材料真实有效，否则我方负全部责任。</w:t>
      </w:r>
    </w:p>
    <w:p w14:paraId="6E31BE4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）供应商提供资信证明的</w:t>
      </w:r>
    </w:p>
    <w:p w14:paraId="108C0718">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□非自然人适用（包括企业、事业单位、社会团体和其他组织）：现附上我方银行：</w:t>
      </w:r>
      <w:r>
        <w:rPr>
          <w:rFonts w:hint="eastAsia" w:ascii="宋体" w:hAnsi="宋体" w:eastAsia="宋体" w:cs="宋体"/>
          <w:color w:val="auto"/>
          <w:sz w:val="24"/>
          <w:szCs w:val="24"/>
          <w:u w:val="single"/>
        </w:rPr>
        <w:t>（填写“开户银行全称”）</w:t>
      </w:r>
      <w:r>
        <w:rPr>
          <w:rFonts w:hint="eastAsia" w:ascii="宋体" w:hAnsi="宋体" w:eastAsia="宋体" w:cs="宋体"/>
          <w:color w:val="auto"/>
          <w:sz w:val="24"/>
          <w:szCs w:val="24"/>
        </w:rPr>
        <w:t>出具的资信证明复印件，上述证明材料真实有效，否则我方负全部责任。</w:t>
      </w:r>
    </w:p>
    <w:p w14:paraId="6F483E2A">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□自然人适用（包括企业、事业单位、社会团体和其他组织）：现附上我方银行：</w:t>
      </w:r>
      <w:r>
        <w:rPr>
          <w:rFonts w:hint="eastAsia" w:ascii="宋体" w:hAnsi="宋体" w:eastAsia="宋体" w:cs="宋体"/>
          <w:color w:val="auto"/>
          <w:sz w:val="24"/>
          <w:szCs w:val="24"/>
          <w:u w:val="single"/>
        </w:rPr>
        <w:t>（填写自然人的“个人账户的开户银行全称”）</w:t>
      </w:r>
      <w:r>
        <w:rPr>
          <w:rFonts w:hint="eastAsia" w:ascii="宋体" w:hAnsi="宋体" w:eastAsia="宋体" w:cs="宋体"/>
          <w:color w:val="auto"/>
          <w:sz w:val="24"/>
          <w:szCs w:val="24"/>
        </w:rPr>
        <w:t>出具的资信证明复印件，上述证明材料真实有效，否则我方负全部责任。</w:t>
      </w:r>
    </w:p>
    <w:p w14:paraId="47C393C1">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※注意事项：</w:t>
      </w:r>
    </w:p>
    <w:p w14:paraId="6859704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1、请供应商按照自身实际情况编制填写，在其中相应的（）中打“√”并选择相应的“□”（若有）后，再按照本格式的要求提供相应证明材料的复印件即可。</w:t>
      </w:r>
    </w:p>
    <w:p w14:paraId="7C56AF2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2、供应商提供的财务报告复印件（成立年限按照首次响应文件递交截止时间推算）应符合下列规定：</w:t>
      </w:r>
    </w:p>
    <w:p w14:paraId="5EEB643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2.1成立年限满1年及以上的供应商，提供经审计的上一年度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2024年或2025年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的年度财务报告。</w:t>
      </w:r>
    </w:p>
    <w:p w14:paraId="5C080181">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2.2成立年限满半年但不足1年的供应商，提供该半年度中任一季度的季度财务报告或该半年度的半年度财务报告。</w:t>
      </w:r>
    </w:p>
    <w:p w14:paraId="179F77C9">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※无法按照本格式注意事项第2.1、2.2条规定提供财务报告复印件的供应商，应按照本格式注意事项的要求选择提供资信证明复印件。</w:t>
      </w:r>
    </w:p>
    <w:p w14:paraId="4DEF31A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3、对于接受联合体形式的磋商且供应商是联合体的，则联合体各成员都应当提交本资格证明文件。</w:t>
      </w:r>
    </w:p>
    <w:p w14:paraId="422211E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74721F2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69376EB5">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273CE21D">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0458C21A">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附件3-6 依法缴纳税收证明材料</w:t>
      </w:r>
    </w:p>
    <w:p w14:paraId="7B290B4D">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p>
    <w:p w14:paraId="1DCA9A1A">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203D886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1、依法缴纳税收的供应商</w:t>
      </w:r>
    </w:p>
    <w:p w14:paraId="6D49341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）法人（包括企业、事业单位和社会团体）的</w:t>
      </w:r>
    </w:p>
    <w:p w14:paraId="3D5A064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期间我方缴纳（包括但不限于税务机关出具的专用收据、税收缴纳证明或税收代缴银行的缴款收讫凭证）等税收凭据复印件，上述证明材料真实有效，否则我方负全部责任。</w:t>
      </w:r>
    </w:p>
    <w:p w14:paraId="72AD6F1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）非法人（包括其他组织、自然人）的</w:t>
      </w:r>
    </w:p>
    <w:p w14:paraId="7E2039ED">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期间我方缴纳（包括但不限于税务机关出具的专用收据、税收缴纳证明或税收代缴银行的缴款收讫凭证）等税收凭据复印件，上述证明材料真实有效，否则我方负全部责任。</w:t>
      </w:r>
    </w:p>
    <w:p w14:paraId="464FB5B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2、依法减免税收的供应商</w:t>
      </w:r>
    </w:p>
    <w:p w14:paraId="26CD7196">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）现附上我方依法免税证明材料复印件，上述证明材料真实有效，否则我方负全部责任。</w:t>
      </w:r>
      <w:r>
        <w:rPr>
          <w:rFonts w:hint="eastAsia" w:ascii="宋体" w:hAnsi="宋体" w:eastAsia="宋体" w:cs="宋体"/>
          <w:color w:val="auto"/>
          <w:sz w:val="24"/>
          <w:szCs w:val="24"/>
        </w:rPr>
        <w:br w:type="textWrapping"/>
      </w:r>
    </w:p>
    <w:p w14:paraId="7067222C">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76C89C18">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1、请供应商根据实际情况填写，在相应的（）中打“√”，并按照本格式的要求提供相应证明材料的复印件。</w:t>
      </w:r>
    </w:p>
    <w:p w14:paraId="2A81CF5C">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2、供应商提供的税收凭据复印件应符合下列规定：</w:t>
      </w:r>
    </w:p>
    <w:p w14:paraId="3F601F76">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2.1首次响应文件递交截止时间前（不含截止时间的当月）已依法缴纳税收的供应商，提供首次响应文件递交截止时间前六个月（不含截止时间的当月）中任一月份的税收凭据复印件。</w:t>
      </w:r>
    </w:p>
    <w:p w14:paraId="7CC4B84A">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2.2首次响应文件递交截止时间的当月成立的供应商，视同满足本项资格条件要求。</w:t>
      </w:r>
    </w:p>
    <w:p w14:paraId="492A7CB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2.3若为依法免税范围的供应商，提供依法免税证明材料的，视同满足本项资格条件要求。</w:t>
      </w:r>
      <w:r>
        <w:rPr>
          <w:rFonts w:hint="eastAsia" w:ascii="宋体" w:hAnsi="宋体" w:eastAsia="宋体" w:cs="宋体"/>
          <w:color w:val="auto"/>
          <w:sz w:val="24"/>
          <w:szCs w:val="24"/>
        </w:rPr>
        <w:br w:type="textWrapping"/>
      </w:r>
    </w:p>
    <w:p w14:paraId="334966C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32BA536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5BD9985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66F650E2">
      <w:pPr>
        <w:pStyle w:val="48"/>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color w:val="auto"/>
          <w:sz w:val="24"/>
          <w:szCs w:val="24"/>
        </w:rPr>
      </w:pPr>
    </w:p>
    <w:p w14:paraId="4B7B40E6">
      <w:pPr>
        <w:pStyle w:val="48"/>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附件3-7 依法缴纳社会保障资金证明材料</w:t>
      </w:r>
    </w:p>
    <w:p w14:paraId="2FDB9EA7">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p>
    <w:p w14:paraId="111BABB2">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300413F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1、依法缴纳社会保障资金的供应商</w:t>
      </w:r>
    </w:p>
    <w:p w14:paraId="2833FCFF">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）法人（包括企业、事业单位和社会团体）的</w:t>
      </w:r>
    </w:p>
    <w:p w14:paraId="130E72B9">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48C65E5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）非法人（包括其他组织、自然人）的</w:t>
      </w:r>
    </w:p>
    <w:p w14:paraId="7C4AB52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7B6B018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2、依法不需要缴纳或暂缓缴纳社会保障资金的供应商</w:t>
      </w:r>
    </w:p>
    <w:p w14:paraId="0D613B0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（）现附上我方依法不需要缴纳社会保障资金证明材料复印件，上述证明材料真实有效，否则我方负全部责任。</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31DF4E76">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37E5C73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1、请供应商根据实际情况填写，在相应的（）中打“√”，并按照本格式的要求提供相应证明材料的复印件。</w:t>
      </w:r>
    </w:p>
    <w:p w14:paraId="3B76FEF9">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2、供应商提供的社会保险凭据复印件应符合下列规定：</w:t>
      </w:r>
    </w:p>
    <w:p w14:paraId="73536FF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2B0EF07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2.2首次响应文件递交截止时间的当月成立的供应商，视同满足本项资格条件要求。</w:t>
      </w:r>
    </w:p>
    <w:p w14:paraId="592F0E7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2.3若为依法不需要缴纳或暂缓缴纳社会保障资金的供应商，提供依法不需要缴纳或暂缓缴纳社会保障资金证明材料的，视同满足本项资格条件要求。</w:t>
      </w:r>
      <w:r>
        <w:rPr>
          <w:rFonts w:hint="eastAsia" w:ascii="宋体" w:hAnsi="宋体" w:eastAsia="宋体" w:cs="宋体"/>
          <w:color w:val="auto"/>
          <w:sz w:val="24"/>
          <w:szCs w:val="24"/>
        </w:rPr>
        <w:br w:type="textWrapping"/>
      </w:r>
    </w:p>
    <w:p w14:paraId="09DC010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60CC4FA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49B89CF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6181224A">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028347DD">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附件3-8 具备履行合同所必需设备和专业技术能力证明材料声明函</w:t>
      </w:r>
    </w:p>
    <w:p w14:paraId="121E4373">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p>
    <w:p w14:paraId="683A5454">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59391A98">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我方具备履行合同所必需的设备和专业技术能力，并对本声明承诺的真实性负责，否则产生不利后果由我方承担责任。</w:t>
      </w:r>
    </w:p>
    <w:p w14:paraId="09A8FCC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特此声明。</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7B74A6D1">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0B892AD8">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1.磋商文件“供应商的资格”中特定资格条件如果没有特别规定，则由供应商在响应文件中按上述格式提供其具备履行合同所必需的设备和专业技术能力的声明即可，声明函应加盖供应商单位公章。。</w:t>
      </w:r>
    </w:p>
    <w:p w14:paraId="1DD1574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2DD30A3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3.对于接受联合体形式的磋商且供应商是联合体的，则联合体各成员都应当提交本资格证明文件。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32E5255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5A93BCF4">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3815A1B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D6B2EAC">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53311CE3">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附件3-9 信用记录查询结果</w:t>
      </w:r>
    </w:p>
    <w:p w14:paraId="5FDAC6A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p>
    <w:p w14:paraId="1B2EEA5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1、由磋商小组通过网站查询并打印供应商的信用记录。</w:t>
      </w:r>
    </w:p>
    <w:p w14:paraId="03C0763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65D3F32B">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供应商应了解自身的信用记录情况。当供应商受到200万以上罚款的行政处罚且该罚款不属较大数额罚款时，供应商应在响应文件中提供此项罚款不属于较大数额罚款的依据（如提供：相关法律制度的规定、行政执法机构对该罚款不属于较大数额罚款的认定或者其他有效依据）。</w:t>
      </w:r>
    </w:p>
    <w:p w14:paraId="3FDB8C45">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2C1A98BA">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r>
        <w:rPr>
          <w:rFonts w:hint="eastAsia" w:ascii="宋体" w:hAnsi="宋体" w:eastAsia="宋体" w:cs="宋体"/>
          <w:b/>
          <w:color w:val="auto"/>
          <w:sz w:val="24"/>
          <w:szCs w:val="24"/>
        </w:rPr>
        <w:t>附件3-1</w:t>
      </w:r>
      <w:r>
        <w:rPr>
          <w:rFonts w:hint="eastAsia" w:ascii="宋体" w:hAnsi="宋体" w:eastAsia="宋体" w:cs="宋体"/>
          <w:b/>
          <w:color w:val="auto"/>
          <w:sz w:val="24"/>
          <w:szCs w:val="24"/>
          <w:lang w:val="en-US" w:eastAsia="zh-CN"/>
        </w:rPr>
        <w:t>0</w:t>
      </w:r>
      <w:r>
        <w:rPr>
          <w:rFonts w:hint="eastAsia" w:ascii="宋体" w:hAnsi="宋体" w:eastAsia="宋体" w:cs="宋体"/>
          <w:b/>
          <w:color w:val="auto"/>
          <w:sz w:val="24"/>
          <w:szCs w:val="24"/>
        </w:rPr>
        <w:t xml:space="preserve"> 参加采购活动前三年内在经营活动中没有重大违法记录书面声明</w:t>
      </w:r>
    </w:p>
    <w:p w14:paraId="45E23F92">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112ABCB8">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0DB04D5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r>
        <w:rPr>
          <w:rFonts w:hint="eastAsia" w:ascii="宋体" w:hAnsi="宋体" w:eastAsia="宋体" w:cs="宋体"/>
          <w:color w:val="auto"/>
          <w:sz w:val="24"/>
          <w:szCs w:val="24"/>
        </w:rPr>
        <w:br w:type="textWrapping"/>
      </w:r>
    </w:p>
    <w:p w14:paraId="6A3440C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特此申明。</w:t>
      </w:r>
      <w:r>
        <w:rPr>
          <w:rFonts w:hint="eastAsia" w:ascii="宋体" w:hAnsi="宋体" w:eastAsia="宋体" w:cs="宋体"/>
          <w:color w:val="auto"/>
          <w:sz w:val="24"/>
          <w:szCs w:val="24"/>
        </w:rPr>
        <w:br w:type="textWrapping"/>
      </w:r>
    </w:p>
    <w:p w14:paraId="3F7ED03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6AEDC6E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424538DC">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4FDB9561">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p>
    <w:p w14:paraId="2744DBDD">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76CBCEC0">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271F00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2、请供应商根据实际情况如实声明，否则视为提供虚假材料。</w:t>
      </w:r>
    </w:p>
    <w:p w14:paraId="1F845606">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0E043CD1">
      <w:pPr>
        <w:pStyle w:val="19"/>
        <w:spacing w:line="360" w:lineRule="auto"/>
        <w:ind w:firstLine="482" w:firstLineChars="200"/>
        <w:jc w:val="center"/>
        <w:rPr>
          <w:rFonts w:hint="eastAsia" w:ascii="宋体" w:hAnsi="宋体" w:eastAsia="宋体" w:cs="宋体"/>
          <w:b/>
          <w:bCs/>
          <w:color w:val="auto"/>
          <w:kern w:val="0"/>
          <w:sz w:val="24"/>
          <w:highlight w:val="none"/>
          <w:lang w:val="en-US" w:eastAsia="zh-CN"/>
        </w:rPr>
      </w:pPr>
      <w:r>
        <w:rPr>
          <w:rFonts w:hint="eastAsia" w:ascii="宋体" w:hAnsi="宋体" w:eastAsia="宋体" w:cs="宋体"/>
          <w:b/>
          <w:color w:val="auto"/>
          <w:sz w:val="24"/>
          <w:szCs w:val="24"/>
        </w:rPr>
        <w:t>附件3-1</w:t>
      </w:r>
      <w:r>
        <w:rPr>
          <w:rFonts w:hint="eastAsia" w:ascii="宋体" w:hAnsi="宋体" w:eastAsia="宋体" w:cs="宋体"/>
          <w:b/>
          <w:color w:val="auto"/>
          <w:sz w:val="24"/>
          <w:szCs w:val="24"/>
          <w:lang w:val="en-US" w:eastAsia="zh-CN"/>
        </w:rPr>
        <w:t xml:space="preserve">1  </w:t>
      </w:r>
      <w:r>
        <w:rPr>
          <w:rFonts w:hint="eastAsia" w:hAnsi="宋体" w:cs="宋体"/>
          <w:b/>
          <w:bCs/>
          <w:color w:val="auto"/>
          <w:kern w:val="0"/>
          <w:sz w:val="24"/>
          <w:highlight w:val="none"/>
          <w:lang w:val="en-US" w:eastAsia="zh-CN"/>
        </w:rPr>
        <w:t>声明函</w:t>
      </w:r>
    </w:p>
    <w:p w14:paraId="26A43168">
      <w:pPr>
        <w:pStyle w:val="19"/>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cs="宋体"/>
          <w:color w:val="auto"/>
          <w:sz w:val="24"/>
          <w:szCs w:val="24"/>
          <w:lang w:val="en-US" w:eastAsia="zh-CN"/>
        </w:rPr>
        <w:t>供应商没有被列入景弘集团有限公司或福建省楚源服饰有限责任公司不良行为记录名单</w:t>
      </w:r>
      <w:r>
        <w:rPr>
          <w:rFonts w:hint="eastAsia" w:asciiTheme="minorEastAsia" w:hAnsiTheme="minorEastAsia" w:eastAsiaTheme="minorEastAsia" w:cstheme="minorEastAsia"/>
          <w:b w:val="0"/>
          <w:bCs w:val="0"/>
          <w:color w:val="auto"/>
          <w:sz w:val="24"/>
          <w:szCs w:val="24"/>
          <w:highlight w:val="none"/>
          <w:lang w:val="en-US" w:eastAsia="zh-CN"/>
        </w:rPr>
        <w:t>。由</w:t>
      </w:r>
      <w:r>
        <w:rPr>
          <w:rFonts w:hint="eastAsia" w:ascii="宋体" w:hAnsi="宋体" w:cs="宋体"/>
          <w:color w:val="auto"/>
          <w:sz w:val="24"/>
          <w:szCs w:val="24"/>
          <w:lang w:val="en-US" w:eastAsia="zh-CN"/>
        </w:rPr>
        <w:t>供应商</w:t>
      </w:r>
      <w:r>
        <w:rPr>
          <w:rFonts w:hint="eastAsia" w:asciiTheme="minorEastAsia" w:hAnsiTheme="minorEastAsia" w:eastAsiaTheme="minorEastAsia" w:cstheme="minorEastAsia"/>
          <w:b w:val="0"/>
          <w:bCs w:val="0"/>
          <w:color w:val="auto"/>
          <w:sz w:val="24"/>
          <w:szCs w:val="24"/>
          <w:highlight w:val="none"/>
          <w:lang w:val="en-US" w:eastAsia="zh-CN"/>
        </w:rPr>
        <w:t>在</w:t>
      </w:r>
      <w:r>
        <w:rPr>
          <w:rFonts w:hint="eastAsia" w:asciiTheme="minorEastAsia" w:hAnsiTheme="minorEastAsia" w:cstheme="minorEastAsia"/>
          <w:b w:val="0"/>
          <w:bCs w:val="0"/>
          <w:color w:val="auto"/>
          <w:sz w:val="24"/>
          <w:szCs w:val="24"/>
          <w:highlight w:val="none"/>
          <w:lang w:val="en-US" w:eastAsia="zh-CN"/>
        </w:rPr>
        <w:t>响应</w:t>
      </w:r>
      <w:r>
        <w:rPr>
          <w:rFonts w:hint="eastAsia" w:asciiTheme="minorEastAsia" w:hAnsiTheme="minorEastAsia" w:eastAsiaTheme="minorEastAsia" w:cstheme="minorEastAsia"/>
          <w:b w:val="0"/>
          <w:bCs w:val="0"/>
          <w:color w:val="auto"/>
          <w:sz w:val="24"/>
          <w:szCs w:val="24"/>
          <w:highlight w:val="none"/>
          <w:lang w:val="en-US" w:eastAsia="zh-CN"/>
        </w:rPr>
        <w:t>文件中作出声明（格式自拟）；（注：①请</w:t>
      </w:r>
      <w:r>
        <w:rPr>
          <w:rFonts w:hint="eastAsia" w:ascii="宋体" w:hAnsi="宋体" w:cs="宋体"/>
          <w:color w:val="auto"/>
          <w:sz w:val="24"/>
          <w:szCs w:val="24"/>
          <w:lang w:val="en-US" w:eastAsia="zh-CN"/>
        </w:rPr>
        <w:t>供应商</w:t>
      </w:r>
      <w:r>
        <w:rPr>
          <w:rFonts w:hint="eastAsia" w:asciiTheme="minorEastAsia" w:hAnsiTheme="minorEastAsia" w:eastAsiaTheme="minorEastAsia" w:cstheme="minorEastAsia"/>
          <w:b w:val="0"/>
          <w:bCs w:val="0"/>
          <w:color w:val="auto"/>
          <w:sz w:val="24"/>
          <w:szCs w:val="24"/>
          <w:highlight w:val="none"/>
          <w:lang w:val="en-US" w:eastAsia="zh-CN"/>
        </w:rPr>
        <w:t>根据实际情况进行声明，若声明不真实，视为提供虚假材料。②</w:t>
      </w:r>
      <w:r>
        <w:rPr>
          <w:rFonts w:hint="eastAsia" w:asciiTheme="minorEastAsia" w:hAnsiTheme="minorEastAsia" w:cstheme="minorEastAsia"/>
          <w:b w:val="0"/>
          <w:bCs w:val="0"/>
          <w:color w:val="auto"/>
          <w:sz w:val="24"/>
          <w:szCs w:val="24"/>
          <w:highlight w:val="none"/>
          <w:lang w:val="en-US" w:eastAsia="zh-CN"/>
        </w:rPr>
        <w:t>响应</w:t>
      </w:r>
      <w:r>
        <w:rPr>
          <w:rFonts w:hint="eastAsia" w:asciiTheme="minorEastAsia" w:hAnsiTheme="minorEastAsia" w:eastAsiaTheme="minorEastAsia" w:cstheme="minorEastAsia"/>
          <w:b w:val="0"/>
          <w:bCs w:val="0"/>
          <w:color w:val="auto"/>
          <w:sz w:val="24"/>
          <w:szCs w:val="24"/>
          <w:highlight w:val="none"/>
          <w:lang w:val="en-US" w:eastAsia="zh-CN"/>
        </w:rPr>
        <w:t>文件正本中的声明应为原件。）</w:t>
      </w:r>
      <w:r>
        <w:rPr>
          <w:rFonts w:hint="eastAsia" w:asciiTheme="minorEastAsia" w:hAnsiTheme="minorEastAsia" w:eastAsiaTheme="minorEastAsia" w:cstheme="minorEastAsia"/>
          <w:color w:val="auto"/>
          <w:sz w:val="24"/>
          <w:szCs w:val="24"/>
          <w:highlight w:val="none"/>
        </w:rPr>
        <w:t>。</w:t>
      </w:r>
    </w:p>
    <w:p w14:paraId="0CDE9BDD">
      <w:pPr>
        <w:pStyle w:val="19"/>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291C8A92">
      <w:pPr>
        <w:pStyle w:val="19"/>
        <w:spacing w:line="360" w:lineRule="auto"/>
        <w:ind w:firstLine="480" w:firstLineChars="20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rPr>
        <w:t>(盖章)：</w:t>
      </w:r>
    </w:p>
    <w:p w14:paraId="0F55CE96">
      <w:pPr>
        <w:pStyle w:val="19"/>
        <w:spacing w:line="360" w:lineRule="auto"/>
        <w:ind w:firstLine="480" w:firstLineChars="20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w:t>
      </w:r>
      <w:r>
        <w:rPr>
          <w:rFonts w:hint="eastAsia" w:ascii="宋体" w:hAnsi="宋体" w:cs="宋体"/>
          <w:color w:val="auto"/>
          <w:sz w:val="24"/>
          <w:szCs w:val="24"/>
          <w:lang w:val="en-US" w:eastAsia="zh-CN"/>
        </w:rPr>
        <w:t>供应商</w:t>
      </w:r>
      <w:r>
        <w:rPr>
          <w:rFonts w:hint="eastAsia" w:asciiTheme="minorEastAsia" w:hAnsiTheme="minorEastAsia" w:eastAsiaTheme="minorEastAsia" w:cstheme="minorEastAsia"/>
          <w:color w:val="auto"/>
          <w:sz w:val="24"/>
          <w:szCs w:val="24"/>
          <w:highlight w:val="none"/>
        </w:rPr>
        <w:t>代表（签名）：</w:t>
      </w:r>
    </w:p>
    <w:p w14:paraId="1F3981ED">
      <w:pPr>
        <w:spacing w:line="360"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年  月  日</w:t>
      </w:r>
    </w:p>
    <w:p w14:paraId="1E8EAC89">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7188F3EB">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5C7CE908">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24F39360">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791FC1D1">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51021AF8">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7B685470">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10B4FAC6">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0D3C2E6B">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0D2304D9">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0020F68C">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140CC99F">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36FF2395">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5B192D5C">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5547D9F1">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09BA22A4">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5A74C7E2">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65E4BAD8">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0A72E346">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1A7689B2">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6028F836">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4EED8B7B">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75CE5B2C">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29EBE3CA">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附件3-1</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 xml:space="preserve"> 其它资格证明文件</w:t>
      </w:r>
    </w:p>
    <w:p w14:paraId="1EAD684A">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color w:val="auto"/>
          <w:sz w:val="24"/>
          <w:szCs w:val="24"/>
        </w:rPr>
      </w:pPr>
      <w:r>
        <w:rPr>
          <w:rFonts w:hint="eastAsia" w:ascii="宋体" w:hAnsi="宋体" w:eastAsia="宋体" w:cs="宋体"/>
          <w:b/>
          <w:color w:val="auto"/>
          <w:sz w:val="24"/>
          <w:szCs w:val="24"/>
        </w:rPr>
        <w:t>（若有）</w:t>
      </w:r>
    </w:p>
    <w:p w14:paraId="025C7E82">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0614733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0198674D">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2、若磋商文件规定接受联合体形式且供应商为联合体的，涉及联合体成员的其它资格证明文件在此处提供相关证明材料，并加盖供应商单位公章。</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767AF2C2">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52BF6068">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08483559">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53B6DA59">
      <w:pPr>
        <w:pStyle w:val="26"/>
        <w:spacing w:before="75" w:beforeAutospacing="0" w:after="75" w:afterAutospacing="0" w:line="435" w:lineRule="atLeast"/>
        <w:rPr>
          <w:color w:val="auto"/>
        </w:rPr>
      </w:pPr>
      <w:r>
        <w:rPr>
          <w:rFonts w:hint="eastAsia"/>
          <w:color w:val="auto"/>
        </w:rPr>
        <w:t> </w:t>
      </w:r>
    </w:p>
    <w:p w14:paraId="4E1607B2">
      <w:pPr>
        <w:pStyle w:val="26"/>
        <w:spacing w:before="75" w:beforeAutospacing="0" w:after="75" w:afterAutospacing="0" w:line="435" w:lineRule="atLeast"/>
        <w:rPr>
          <w:color w:val="auto"/>
        </w:rPr>
      </w:pPr>
    </w:p>
    <w:p w14:paraId="500E28C6">
      <w:pPr>
        <w:pStyle w:val="26"/>
        <w:spacing w:before="75" w:beforeAutospacing="0" w:after="75" w:afterAutospacing="0" w:line="435" w:lineRule="atLeast"/>
        <w:rPr>
          <w:color w:val="auto"/>
        </w:rPr>
      </w:pPr>
    </w:p>
    <w:p w14:paraId="0A5914E4">
      <w:pPr>
        <w:pStyle w:val="26"/>
        <w:spacing w:before="75" w:beforeAutospacing="0" w:after="75" w:afterAutospacing="0" w:line="435" w:lineRule="atLeast"/>
        <w:rPr>
          <w:color w:val="auto"/>
        </w:rPr>
      </w:pPr>
    </w:p>
    <w:p w14:paraId="4F59FF67">
      <w:pPr>
        <w:pStyle w:val="26"/>
        <w:spacing w:before="75" w:beforeAutospacing="0" w:after="75" w:afterAutospacing="0" w:line="435" w:lineRule="atLeast"/>
        <w:rPr>
          <w:color w:val="auto"/>
        </w:rPr>
      </w:pPr>
    </w:p>
    <w:p w14:paraId="66244842">
      <w:pPr>
        <w:pStyle w:val="26"/>
        <w:spacing w:before="75" w:beforeAutospacing="0" w:after="75" w:afterAutospacing="0" w:line="435" w:lineRule="atLeast"/>
        <w:rPr>
          <w:color w:val="auto"/>
        </w:rPr>
      </w:pPr>
    </w:p>
    <w:p w14:paraId="6F5D0A4B">
      <w:pPr>
        <w:pStyle w:val="26"/>
        <w:spacing w:before="75" w:beforeAutospacing="0" w:after="75" w:afterAutospacing="0" w:line="435" w:lineRule="atLeast"/>
        <w:rPr>
          <w:color w:val="auto"/>
        </w:rPr>
      </w:pPr>
    </w:p>
    <w:p w14:paraId="61DCD9FD">
      <w:pPr>
        <w:pStyle w:val="26"/>
        <w:spacing w:before="75" w:beforeAutospacing="0" w:after="75" w:afterAutospacing="0" w:line="435" w:lineRule="atLeast"/>
        <w:rPr>
          <w:color w:val="auto"/>
        </w:rPr>
      </w:pPr>
    </w:p>
    <w:p w14:paraId="15000B6A">
      <w:pPr>
        <w:pStyle w:val="26"/>
        <w:spacing w:before="75" w:beforeAutospacing="0" w:after="75" w:afterAutospacing="0" w:line="435" w:lineRule="atLeast"/>
        <w:rPr>
          <w:color w:val="auto"/>
        </w:rPr>
      </w:pPr>
    </w:p>
    <w:p w14:paraId="45FE4158">
      <w:pPr>
        <w:pStyle w:val="26"/>
        <w:spacing w:before="75" w:beforeAutospacing="0" w:after="75" w:afterAutospacing="0" w:line="435" w:lineRule="atLeast"/>
        <w:rPr>
          <w:color w:val="auto"/>
        </w:rPr>
      </w:pPr>
    </w:p>
    <w:p w14:paraId="5FA226EF">
      <w:pPr>
        <w:pStyle w:val="26"/>
        <w:spacing w:before="75" w:beforeAutospacing="0" w:after="75" w:afterAutospacing="0" w:line="435" w:lineRule="atLeast"/>
        <w:rPr>
          <w:color w:val="auto"/>
        </w:rPr>
      </w:pPr>
    </w:p>
    <w:p w14:paraId="7CF50AC9">
      <w:pPr>
        <w:pStyle w:val="26"/>
        <w:spacing w:before="75" w:beforeAutospacing="0" w:after="75" w:afterAutospacing="0" w:line="435" w:lineRule="atLeast"/>
        <w:rPr>
          <w:color w:val="auto"/>
        </w:rPr>
      </w:pPr>
    </w:p>
    <w:p w14:paraId="79D72F93">
      <w:pPr>
        <w:pStyle w:val="26"/>
        <w:spacing w:before="75" w:beforeAutospacing="0" w:after="75" w:afterAutospacing="0" w:line="435" w:lineRule="atLeast"/>
        <w:rPr>
          <w:rFonts w:hint="eastAsia"/>
          <w:color w:val="auto"/>
        </w:rPr>
      </w:pPr>
    </w:p>
    <w:p w14:paraId="61FA6126">
      <w:pPr>
        <w:pStyle w:val="26"/>
        <w:spacing w:before="75" w:beforeAutospacing="0" w:after="75" w:afterAutospacing="0" w:line="420" w:lineRule="atLeast"/>
        <w:rPr>
          <w:color w:val="auto"/>
        </w:rPr>
      </w:pPr>
      <w:r>
        <w:rPr>
          <w:rFonts w:hint="eastAsia"/>
          <w:color w:val="auto"/>
        </w:rPr>
        <w:t> </w:t>
      </w:r>
    </w:p>
    <w:p w14:paraId="5F521D72">
      <w:pPr>
        <w:pStyle w:val="26"/>
        <w:spacing w:before="75" w:beforeAutospacing="0" w:after="75" w:afterAutospacing="0" w:line="420" w:lineRule="atLeast"/>
        <w:rPr>
          <w:color w:val="auto"/>
        </w:rPr>
      </w:pPr>
      <w:r>
        <w:rPr>
          <w:rFonts w:hint="eastAsia"/>
          <w:color w:val="auto"/>
        </w:rPr>
        <w:t> </w:t>
      </w:r>
    </w:p>
    <w:p w14:paraId="5863C0E0">
      <w:pPr>
        <w:pStyle w:val="26"/>
        <w:spacing w:before="75" w:beforeAutospacing="0" w:after="75" w:afterAutospacing="0" w:line="420" w:lineRule="atLeast"/>
        <w:rPr>
          <w:color w:val="auto"/>
        </w:rPr>
      </w:pPr>
      <w:r>
        <w:rPr>
          <w:rFonts w:hint="eastAsia"/>
          <w:color w:val="auto"/>
        </w:rPr>
        <w:t> </w:t>
      </w:r>
    </w:p>
    <w:p w14:paraId="6C485F62">
      <w:pPr>
        <w:pStyle w:val="26"/>
        <w:spacing w:before="75" w:beforeAutospacing="0" w:after="75" w:afterAutospacing="0" w:line="435" w:lineRule="atLeast"/>
        <w:rPr>
          <w:color w:val="auto"/>
        </w:rPr>
      </w:pPr>
      <w:r>
        <w:rPr>
          <w:rFonts w:hint="eastAsia"/>
          <w:color w:val="auto"/>
        </w:rPr>
        <w:t xml:space="preserve">附件4            </w:t>
      </w:r>
      <w:r>
        <w:rPr>
          <w:rStyle w:val="34"/>
          <w:rFonts w:hint="eastAsia"/>
          <w:color w:val="auto"/>
        </w:rPr>
        <w:t>退回保证金说明函</w:t>
      </w:r>
    </w:p>
    <w:p w14:paraId="0C851166">
      <w:pPr>
        <w:pStyle w:val="26"/>
        <w:spacing w:before="75" w:beforeAutospacing="0" w:after="75" w:afterAutospacing="0"/>
        <w:rPr>
          <w:color w:val="auto"/>
        </w:rPr>
      </w:pPr>
      <w:r>
        <w:rPr>
          <w:rFonts w:hint="eastAsia"/>
          <w:color w:val="auto"/>
        </w:rPr>
        <w:t> </w:t>
      </w:r>
    </w:p>
    <w:p w14:paraId="39A260F6">
      <w:pPr>
        <w:pStyle w:val="20"/>
        <w:tabs>
          <w:tab w:val="left" w:pos="900"/>
        </w:tabs>
        <w:spacing w:line="360" w:lineRule="auto"/>
        <w:rPr>
          <w:rFonts w:hint="eastAsia" w:ascii="宋体" w:hAnsi="宋体"/>
          <w:color w:val="auto"/>
          <w:sz w:val="24"/>
          <w:szCs w:val="24"/>
        </w:rPr>
      </w:pPr>
      <w:r>
        <w:rPr>
          <w:rFonts w:hint="eastAsia" w:ascii="宋体" w:hAnsi="宋体"/>
          <w:color w:val="auto"/>
          <w:sz w:val="24"/>
          <w:szCs w:val="24"/>
        </w:rPr>
        <w:t>致：</w:t>
      </w:r>
      <w:r>
        <w:rPr>
          <w:rFonts w:hint="eastAsia" w:ascii="宋体" w:hAnsi="宋体"/>
          <w:bCs/>
          <w:color w:val="auto"/>
          <w:sz w:val="24"/>
          <w:szCs w:val="24"/>
          <w:u w:val="single"/>
        </w:rPr>
        <w:t>福建立勤项目管理有限公司</w:t>
      </w:r>
    </w:p>
    <w:p w14:paraId="332DB7B5">
      <w:pPr>
        <w:spacing w:line="360" w:lineRule="auto"/>
        <w:ind w:firstLine="477" w:firstLineChars="199"/>
        <w:rPr>
          <w:rFonts w:hint="eastAsia" w:ascii="宋体" w:hAnsi="宋体" w:cs="Arial"/>
          <w:bCs/>
          <w:color w:val="auto"/>
          <w:sz w:val="24"/>
        </w:rPr>
      </w:pPr>
      <w:r>
        <w:rPr>
          <w:rFonts w:hint="eastAsia" w:ascii="宋体" w:hAnsi="宋体"/>
          <w:bCs/>
          <w:color w:val="auto"/>
          <w:sz w:val="24"/>
        </w:rPr>
        <w:t>我方参与</w:t>
      </w:r>
      <w:r>
        <w:rPr>
          <w:rFonts w:hint="eastAsia" w:ascii="宋体" w:hAnsi="宋体"/>
          <w:color w:val="auto"/>
          <w:sz w:val="24"/>
          <w:u w:val="single"/>
        </w:rPr>
        <w:t xml:space="preserve">               </w:t>
      </w:r>
      <w:r>
        <w:rPr>
          <w:rFonts w:hint="eastAsia" w:ascii="宋体" w:hAnsi="宋体"/>
          <w:color w:val="auto"/>
          <w:sz w:val="24"/>
        </w:rPr>
        <w:t>（</w:t>
      </w:r>
      <w:r>
        <w:rPr>
          <w:rFonts w:hint="eastAsia" w:ascii="宋体" w:hAnsi="宋体"/>
          <w:bCs/>
          <w:color w:val="auto"/>
          <w:sz w:val="24"/>
        </w:rPr>
        <w:t>项目编号：</w:t>
      </w:r>
      <w:r>
        <w:rPr>
          <w:rFonts w:hint="eastAsia" w:ascii="宋体" w:hAnsi="宋体" w:cs="Arial"/>
          <w:bCs/>
          <w:color w:val="auto"/>
          <w:sz w:val="24"/>
          <w:u w:val="single"/>
        </w:rPr>
        <w:t xml:space="preserve">            </w:t>
      </w:r>
      <w:r>
        <w:rPr>
          <w:rFonts w:hint="eastAsia" w:ascii="宋体" w:hAnsi="宋体" w:cs="Arial"/>
          <w:bCs/>
          <w:color w:val="auto"/>
          <w:sz w:val="24"/>
        </w:rPr>
        <w:t>）的报价，</w:t>
      </w:r>
      <w:r>
        <w:rPr>
          <w:rFonts w:hint="eastAsia" w:ascii="宋体" w:hAnsi="宋体"/>
          <w:color w:val="auto"/>
          <w:sz w:val="24"/>
        </w:rPr>
        <w:t>以</w:t>
      </w:r>
      <w:r>
        <w:rPr>
          <w:rFonts w:hint="eastAsia" w:ascii="宋体" w:hAnsi="宋体"/>
          <w:color w:val="auto"/>
          <w:sz w:val="24"/>
          <w:u w:val="single"/>
        </w:rPr>
        <w:t xml:space="preserve"> 转帐 </w:t>
      </w:r>
      <w:r>
        <w:rPr>
          <w:rFonts w:hint="eastAsia" w:ascii="宋体" w:hAnsi="宋体"/>
          <w:color w:val="auto"/>
          <w:sz w:val="24"/>
        </w:rPr>
        <w:t>形式</w:t>
      </w:r>
      <w:r>
        <w:rPr>
          <w:rFonts w:hint="eastAsia" w:ascii="宋体" w:hAnsi="宋体" w:cs="宋体"/>
          <w:color w:val="auto"/>
          <w:sz w:val="24"/>
        </w:rPr>
        <w:t>于</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Arial"/>
          <w:bCs/>
          <w:color w:val="auto"/>
          <w:sz w:val="24"/>
        </w:rPr>
        <w:t>提供人民币</w:t>
      </w:r>
      <w:r>
        <w:rPr>
          <w:rFonts w:hint="eastAsia" w:ascii="宋体" w:hAnsi="宋体" w:cs="Arial"/>
          <w:bCs/>
          <w:color w:val="auto"/>
          <w:sz w:val="24"/>
          <w:u w:val="single"/>
        </w:rPr>
        <w:t xml:space="preserve">          </w:t>
      </w:r>
      <w:r>
        <w:rPr>
          <w:rFonts w:hint="eastAsia" w:ascii="宋体" w:hAnsi="宋体" w:cs="Arial"/>
          <w:bCs/>
          <w:color w:val="auto"/>
          <w:sz w:val="24"/>
        </w:rPr>
        <w:t>元保证金（参与</w:t>
      </w:r>
      <w:r>
        <w:rPr>
          <w:rFonts w:hint="eastAsia" w:ascii="宋体" w:hAnsi="宋体" w:cs="Arial"/>
          <w:bCs/>
          <w:color w:val="auto"/>
          <w:sz w:val="24"/>
          <w:lang w:eastAsia="zh-CN"/>
        </w:rPr>
        <w:t>采购包</w:t>
      </w:r>
      <w:r>
        <w:rPr>
          <w:rFonts w:hint="eastAsia" w:ascii="宋体" w:hAnsi="宋体" w:cs="Arial"/>
          <w:bCs/>
          <w:color w:val="auto"/>
          <w:sz w:val="24"/>
          <w:u w:val="single"/>
        </w:rPr>
        <w:t xml:space="preserve">     </w:t>
      </w:r>
      <w:r>
        <w:rPr>
          <w:rFonts w:hint="eastAsia" w:ascii="宋体" w:hAnsi="宋体" w:cs="Arial"/>
          <w:bCs/>
          <w:color w:val="auto"/>
          <w:sz w:val="24"/>
        </w:rPr>
        <w:t>报价），当可以退回时，请退回到我公司以下账户：</w:t>
      </w:r>
    </w:p>
    <w:p w14:paraId="06E225DD">
      <w:pPr>
        <w:spacing w:line="360" w:lineRule="auto"/>
        <w:ind w:firstLine="477" w:firstLineChars="199"/>
        <w:rPr>
          <w:rFonts w:hint="eastAsia" w:ascii="宋体" w:hAnsi="宋体"/>
          <w:color w:val="auto"/>
          <w:sz w:val="24"/>
        </w:rPr>
      </w:pPr>
      <w:r>
        <w:rPr>
          <w:rFonts w:hint="eastAsia" w:ascii="宋体" w:hAnsi="宋体" w:cs="Arial"/>
          <w:bCs/>
          <w:color w:val="auto"/>
          <w:sz w:val="24"/>
        </w:rPr>
        <w:t>1.</w:t>
      </w:r>
      <w:r>
        <w:rPr>
          <w:rFonts w:hint="eastAsia" w:ascii="宋体" w:hAnsi="宋体"/>
          <w:color w:val="auto"/>
          <w:sz w:val="24"/>
        </w:rPr>
        <w:t>开户名：</w:t>
      </w:r>
      <w:r>
        <w:rPr>
          <w:rFonts w:hint="eastAsia" w:ascii="宋体" w:hAnsi="宋体"/>
          <w:color w:val="auto"/>
          <w:sz w:val="24"/>
          <w:u w:val="single"/>
        </w:rPr>
        <w:t xml:space="preserve">                                </w:t>
      </w:r>
    </w:p>
    <w:p w14:paraId="69100D24">
      <w:pPr>
        <w:spacing w:line="360" w:lineRule="auto"/>
        <w:ind w:left="315" w:leftChars="150" w:firstLine="120" w:firstLineChars="50"/>
        <w:rPr>
          <w:rFonts w:hint="eastAsia" w:ascii="宋体" w:hAnsi="宋体"/>
          <w:color w:val="auto"/>
          <w:sz w:val="24"/>
        </w:rPr>
      </w:pPr>
      <w:r>
        <w:rPr>
          <w:rFonts w:hint="eastAsia" w:ascii="宋体" w:hAnsi="宋体"/>
          <w:color w:val="auto"/>
          <w:sz w:val="24"/>
        </w:rPr>
        <w:t>2.开户行：</w:t>
      </w:r>
      <w:r>
        <w:rPr>
          <w:rFonts w:hint="eastAsia" w:ascii="宋体" w:hAnsi="宋体"/>
          <w:color w:val="auto"/>
          <w:sz w:val="24"/>
          <w:u w:val="single"/>
        </w:rPr>
        <w:t xml:space="preserve">                                </w:t>
      </w:r>
    </w:p>
    <w:p w14:paraId="0746514D">
      <w:pPr>
        <w:spacing w:line="360" w:lineRule="auto"/>
        <w:ind w:left="315" w:leftChars="150" w:firstLine="120" w:firstLineChars="50"/>
        <w:rPr>
          <w:rFonts w:hint="eastAsia" w:ascii="宋体" w:hAnsi="宋体"/>
          <w:b/>
          <w:bCs/>
          <w:color w:val="auto"/>
          <w:sz w:val="24"/>
        </w:rPr>
      </w:pPr>
      <w:r>
        <w:rPr>
          <w:rFonts w:hint="eastAsia" w:ascii="宋体" w:hAnsi="宋体"/>
          <w:color w:val="auto"/>
          <w:sz w:val="24"/>
        </w:rPr>
        <w:t>3.账  号：</w:t>
      </w:r>
      <w:r>
        <w:rPr>
          <w:rFonts w:hint="eastAsia" w:ascii="宋体" w:hAnsi="宋体"/>
          <w:color w:val="auto"/>
          <w:sz w:val="24"/>
          <w:u w:val="single"/>
        </w:rPr>
        <w:t xml:space="preserve">                                </w:t>
      </w:r>
    </w:p>
    <w:p w14:paraId="7BFACC9E">
      <w:pPr>
        <w:spacing w:line="360" w:lineRule="auto"/>
        <w:ind w:firstLine="479" w:firstLineChars="199"/>
        <w:rPr>
          <w:rFonts w:hint="eastAsia" w:ascii="宋体" w:hAnsi="宋体"/>
          <w:b/>
          <w:bCs/>
          <w:color w:val="auto"/>
          <w:sz w:val="24"/>
        </w:rPr>
      </w:pPr>
      <w:r>
        <w:rPr>
          <w:rFonts w:hint="eastAsia" w:ascii="宋体" w:hAnsi="宋体"/>
          <w:b/>
          <w:bCs/>
          <w:color w:val="auto"/>
          <w:sz w:val="24"/>
        </w:rPr>
        <w:t>（若提交保证金的账户发生变更，还须提供变更证明。）</w:t>
      </w:r>
    </w:p>
    <w:p w14:paraId="0EA299B2">
      <w:pPr>
        <w:spacing w:line="360" w:lineRule="auto"/>
        <w:ind w:firstLine="479" w:firstLineChars="199"/>
        <w:rPr>
          <w:rFonts w:hint="eastAsia" w:ascii="宋体" w:hAnsi="宋体"/>
          <w:b/>
          <w:bCs/>
          <w:color w:val="auto"/>
          <w:sz w:val="24"/>
        </w:rPr>
      </w:pPr>
    </w:p>
    <w:p w14:paraId="20EA2DAE">
      <w:pPr>
        <w:spacing w:line="360" w:lineRule="auto"/>
        <w:ind w:firstLine="4080" w:firstLineChars="1700"/>
        <w:rPr>
          <w:rFonts w:hint="eastAsia" w:ascii="宋体" w:hAnsi="宋体"/>
          <w:color w:val="auto"/>
          <w:sz w:val="24"/>
          <w:u w:val="single"/>
        </w:rPr>
      </w:pPr>
      <w:r>
        <w:rPr>
          <w:rFonts w:hint="eastAsia" w:ascii="宋体" w:hAnsi="宋体"/>
          <w:color w:val="auto"/>
          <w:sz w:val="24"/>
        </w:rPr>
        <w:t>供应商名称：</w:t>
      </w:r>
      <w:r>
        <w:rPr>
          <w:rFonts w:hint="eastAsia" w:ascii="宋体" w:hAnsi="宋体"/>
          <w:color w:val="auto"/>
          <w:sz w:val="24"/>
          <w:u w:val="single"/>
        </w:rPr>
        <w:t>（全称并加盖公章）</w:t>
      </w:r>
    </w:p>
    <w:p w14:paraId="3F9ADE1C">
      <w:pPr>
        <w:spacing w:line="360" w:lineRule="auto"/>
        <w:ind w:firstLine="4080" w:firstLineChars="1700"/>
        <w:rPr>
          <w:rFonts w:hint="eastAsia" w:ascii="宋体" w:hAnsi="宋体"/>
          <w:color w:val="auto"/>
          <w:sz w:val="24"/>
        </w:rPr>
      </w:pPr>
      <w:r>
        <w:rPr>
          <w:rFonts w:hint="eastAsia" w:ascii="宋体" w:hAnsi="宋体"/>
          <w:color w:val="auto"/>
          <w:sz w:val="24"/>
        </w:rPr>
        <w:t>供应商代表（签字）：</w:t>
      </w:r>
      <w:r>
        <w:rPr>
          <w:rFonts w:hint="eastAsia" w:ascii="宋体" w:hAnsi="宋体"/>
          <w:color w:val="auto"/>
          <w:sz w:val="24"/>
          <w:u w:val="single"/>
        </w:rPr>
        <w:t>_______________</w:t>
      </w:r>
      <w:r>
        <w:rPr>
          <w:rFonts w:hint="eastAsia" w:ascii="宋体" w:hAnsi="宋体"/>
          <w:color w:val="auto"/>
          <w:sz w:val="24"/>
        </w:rPr>
        <w:t xml:space="preserve"> </w:t>
      </w:r>
    </w:p>
    <w:p w14:paraId="709EE130">
      <w:pPr>
        <w:spacing w:line="360" w:lineRule="auto"/>
        <w:ind w:firstLine="4080" w:firstLineChars="1700"/>
        <w:rPr>
          <w:rFonts w:hint="eastAsia" w:ascii="宋体" w:hAnsi="宋体"/>
          <w:color w:val="auto"/>
          <w:sz w:val="24"/>
        </w:rPr>
      </w:pPr>
      <w:r>
        <w:rPr>
          <w:rFonts w:hint="eastAsia" w:ascii="宋体" w:hAnsi="宋体"/>
          <w:color w:val="auto"/>
          <w:sz w:val="24"/>
        </w:rPr>
        <w:t>电话/手机：</w:t>
      </w:r>
      <w:r>
        <w:rPr>
          <w:rFonts w:hint="eastAsia" w:ascii="宋体" w:hAnsi="宋体"/>
          <w:color w:val="auto"/>
          <w:sz w:val="24"/>
          <w:u w:val="single"/>
        </w:rPr>
        <w:t>___________________</w:t>
      </w:r>
    </w:p>
    <w:p w14:paraId="58F14FBD">
      <w:pPr>
        <w:spacing w:line="360" w:lineRule="auto"/>
        <w:ind w:firstLine="4080" w:firstLineChars="1700"/>
        <w:rPr>
          <w:rFonts w:hint="eastAsia" w:ascii="宋体" w:hAnsi="宋体"/>
          <w:color w:val="auto"/>
          <w:sz w:val="24"/>
        </w:r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24E3D4C0">
      <w:pPr>
        <w:tabs>
          <w:tab w:val="left" w:pos="795"/>
        </w:tabs>
        <w:spacing w:line="360" w:lineRule="auto"/>
        <w:rPr>
          <w:rFonts w:hint="eastAsia" w:ascii="宋体" w:hAnsi="宋体"/>
          <w:b/>
          <w:bCs/>
          <w:color w:val="auto"/>
          <w:sz w:val="24"/>
        </w:rPr>
      </w:pPr>
      <w:r>
        <w:rPr>
          <w:rFonts w:hint="eastAsia" w:ascii="宋体" w:hAnsi="宋体"/>
          <w:b/>
          <w:bCs/>
          <w:color w:val="auto"/>
          <w:sz w:val="24"/>
        </w:rPr>
        <w:t>附：</w:t>
      </w:r>
      <w:r>
        <w:rPr>
          <w:rFonts w:hint="eastAsia" w:ascii="宋体" w:hAnsi="宋体"/>
          <w:b/>
          <w:color w:val="auto"/>
          <w:sz w:val="24"/>
        </w:rPr>
        <w:t>磋商保证金缴交凭证复印件</w:t>
      </w:r>
    </w:p>
    <w:p w14:paraId="0F25BFBE">
      <w:pPr>
        <w:pStyle w:val="26"/>
        <w:spacing w:before="75" w:beforeAutospacing="0" w:after="240" w:afterAutospacing="0"/>
        <w:rPr>
          <w:color w:val="auto"/>
        </w:rPr>
      </w:pPr>
    </w:p>
    <w:p w14:paraId="18D53920">
      <w:pPr>
        <w:pStyle w:val="26"/>
        <w:spacing w:before="75" w:beforeAutospacing="0" w:after="240" w:afterAutospacing="0"/>
        <w:rPr>
          <w:color w:val="auto"/>
        </w:rPr>
      </w:pPr>
    </w:p>
    <w:p w14:paraId="35CFF506">
      <w:pPr>
        <w:pStyle w:val="26"/>
        <w:spacing w:before="75" w:beforeAutospacing="0" w:after="240" w:afterAutospacing="0"/>
        <w:rPr>
          <w:color w:val="auto"/>
        </w:rPr>
      </w:pPr>
    </w:p>
    <w:p w14:paraId="47D7F388">
      <w:pPr>
        <w:pStyle w:val="26"/>
        <w:spacing w:before="75" w:beforeAutospacing="0" w:after="240" w:afterAutospacing="0"/>
        <w:rPr>
          <w:color w:val="auto"/>
        </w:rPr>
      </w:pPr>
    </w:p>
    <w:p w14:paraId="00CABEF1">
      <w:pPr>
        <w:pStyle w:val="26"/>
        <w:spacing w:before="75" w:beforeAutospacing="0" w:after="240" w:afterAutospacing="0"/>
        <w:rPr>
          <w:color w:val="auto"/>
        </w:rPr>
      </w:pPr>
    </w:p>
    <w:p w14:paraId="42A94169">
      <w:pPr>
        <w:pStyle w:val="26"/>
        <w:spacing w:before="75" w:beforeAutospacing="0" w:after="240" w:afterAutospacing="0"/>
        <w:rPr>
          <w:color w:val="auto"/>
        </w:rPr>
      </w:pPr>
    </w:p>
    <w:p w14:paraId="7C562D6C">
      <w:pPr>
        <w:pStyle w:val="26"/>
        <w:spacing w:before="75" w:beforeAutospacing="0" w:after="240" w:afterAutospacing="0"/>
        <w:rPr>
          <w:color w:val="auto"/>
        </w:rPr>
      </w:pPr>
    </w:p>
    <w:p w14:paraId="05EF9046">
      <w:pPr>
        <w:pStyle w:val="26"/>
        <w:spacing w:before="75" w:beforeAutospacing="0" w:after="240" w:afterAutospacing="0"/>
        <w:rPr>
          <w:color w:val="auto"/>
        </w:rPr>
      </w:pPr>
    </w:p>
    <w:p w14:paraId="38BA9A42">
      <w:pPr>
        <w:pStyle w:val="26"/>
        <w:spacing w:before="75" w:beforeAutospacing="0" w:after="240" w:afterAutospacing="0"/>
        <w:rPr>
          <w:color w:val="auto"/>
        </w:rPr>
      </w:pPr>
    </w:p>
    <w:p w14:paraId="2AA066E3">
      <w:pPr>
        <w:pStyle w:val="26"/>
        <w:spacing w:before="75" w:beforeAutospacing="0" w:after="240" w:afterAutospacing="0"/>
        <w:rPr>
          <w:rFonts w:eastAsia="宋体"/>
          <w:color w:val="auto"/>
        </w:rPr>
      </w:pPr>
    </w:p>
    <w:p w14:paraId="5A8A2C9E">
      <w:pPr>
        <w:pStyle w:val="26"/>
        <w:spacing w:before="75" w:beforeAutospacing="0" w:after="240" w:afterAutospacing="0"/>
        <w:rPr>
          <w:rFonts w:eastAsia="宋体"/>
          <w:color w:val="auto"/>
        </w:rPr>
      </w:pPr>
    </w:p>
    <w:p w14:paraId="2B2BC659">
      <w:pPr>
        <w:pStyle w:val="26"/>
        <w:spacing w:before="75" w:beforeAutospacing="0" w:after="240" w:afterAutospacing="0"/>
        <w:rPr>
          <w:rFonts w:eastAsia="宋体"/>
          <w:color w:val="auto"/>
        </w:rPr>
      </w:pPr>
    </w:p>
    <w:p w14:paraId="792317E7">
      <w:pPr>
        <w:pStyle w:val="26"/>
        <w:spacing w:before="75" w:beforeAutospacing="0" w:after="240" w:afterAutospacing="0"/>
        <w:rPr>
          <w:rFonts w:eastAsia="宋体"/>
          <w:color w:val="auto"/>
        </w:rPr>
      </w:pPr>
    </w:p>
    <w:p w14:paraId="4AC90CA7">
      <w:pPr>
        <w:pStyle w:val="48"/>
        <w:keepNext w:val="0"/>
        <w:keepLines w:val="0"/>
        <w:pageBreakBefore w:val="0"/>
        <w:kinsoku/>
        <w:wordWrap/>
        <w:overflowPunct/>
        <w:topLinePunct w:val="0"/>
        <w:autoSpaceDE/>
        <w:autoSpaceDN/>
        <w:bidi w:val="0"/>
        <w:spacing w:line="360" w:lineRule="auto"/>
        <w:jc w:val="center"/>
        <w:textAlignment w:val="auto"/>
        <w:outlineLvl w:val="2"/>
        <w:rPr>
          <w:rFonts w:hint="eastAsia" w:ascii="宋体" w:hAnsi="宋体" w:eastAsia="宋体" w:cs="宋体"/>
          <w:b/>
          <w:color w:val="auto"/>
          <w:sz w:val="24"/>
          <w:szCs w:val="24"/>
        </w:rPr>
      </w:pPr>
      <w:bookmarkStart w:id="173" w:name="_Toc5469"/>
      <w:r>
        <w:rPr>
          <w:rFonts w:hint="eastAsia" w:ascii="宋体" w:hAnsi="宋体" w:eastAsia="宋体" w:cs="宋体"/>
          <w:b/>
          <w:color w:val="auto"/>
          <w:sz w:val="24"/>
          <w:szCs w:val="24"/>
        </w:rPr>
        <w:t>附件5-1 技术和服务要求响应表</w:t>
      </w:r>
      <w:bookmarkEnd w:id="173"/>
    </w:p>
    <w:p w14:paraId="601B9EDD">
      <w:pPr>
        <w:pStyle w:val="48"/>
        <w:keepNext w:val="0"/>
        <w:keepLines w:val="0"/>
        <w:pageBreakBefore w:val="0"/>
        <w:kinsoku/>
        <w:wordWrap/>
        <w:overflowPunct/>
        <w:topLinePunct w:val="0"/>
        <w:autoSpaceDE/>
        <w:autoSpaceDN/>
        <w:bidi w:val="0"/>
        <w:spacing w:line="360" w:lineRule="auto"/>
        <w:jc w:val="center"/>
        <w:textAlignment w:val="auto"/>
        <w:outlineLvl w:val="2"/>
        <w:rPr>
          <w:rFonts w:hint="eastAsia" w:ascii="宋体" w:hAnsi="宋体" w:eastAsia="宋体" w:cs="宋体"/>
          <w:b/>
          <w:color w:val="auto"/>
          <w:sz w:val="24"/>
          <w:szCs w:val="24"/>
        </w:rPr>
      </w:pPr>
    </w:p>
    <w:p w14:paraId="606BF4D5">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（全称加盖单位公章）</w:t>
      </w:r>
    </w:p>
    <w:p w14:paraId="626F8047">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rPr>
        <w:t>　　　　　　　　　　</w:t>
      </w:r>
    </w:p>
    <w:p w14:paraId="439FCB9E">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u w:val="single"/>
        </w:rPr>
      </w:pPr>
    </w:p>
    <w:tbl>
      <w:tblPr>
        <w:tblStyle w:val="31"/>
        <w:tblW w:w="878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5"/>
        <w:gridCol w:w="1325"/>
        <w:gridCol w:w="2745"/>
        <w:gridCol w:w="2115"/>
        <w:gridCol w:w="1615"/>
      </w:tblGrid>
      <w:tr w14:paraId="28142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4" w:hRule="atLeast"/>
          <w:jc w:val="center"/>
        </w:trPr>
        <w:tc>
          <w:tcPr>
            <w:tcW w:w="985" w:type="dxa"/>
            <w:vAlign w:val="top"/>
          </w:tcPr>
          <w:p w14:paraId="3BDF497A">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采购包</w:t>
            </w:r>
          </w:p>
        </w:tc>
        <w:tc>
          <w:tcPr>
            <w:tcW w:w="1325" w:type="dxa"/>
            <w:vAlign w:val="top"/>
          </w:tcPr>
          <w:p w14:paraId="13089462">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章节条目号</w:t>
            </w:r>
          </w:p>
        </w:tc>
        <w:tc>
          <w:tcPr>
            <w:tcW w:w="2745" w:type="dxa"/>
            <w:vAlign w:val="top"/>
          </w:tcPr>
          <w:p w14:paraId="44ECC9ED">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竞争性磋商文件规定的技术和服务要求</w:t>
            </w:r>
          </w:p>
        </w:tc>
        <w:tc>
          <w:tcPr>
            <w:tcW w:w="2115" w:type="dxa"/>
            <w:vAlign w:val="top"/>
          </w:tcPr>
          <w:p w14:paraId="57B3315A">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响应文件响应承诺</w:t>
            </w:r>
          </w:p>
        </w:tc>
        <w:tc>
          <w:tcPr>
            <w:tcW w:w="1615" w:type="dxa"/>
            <w:vAlign w:val="top"/>
          </w:tcPr>
          <w:p w14:paraId="377CD1E3">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是否偏离及说明</w:t>
            </w:r>
          </w:p>
        </w:tc>
      </w:tr>
      <w:tr w14:paraId="4BEB98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4" w:hRule="atLeast"/>
          <w:jc w:val="center"/>
        </w:trPr>
        <w:tc>
          <w:tcPr>
            <w:tcW w:w="985" w:type="dxa"/>
            <w:vAlign w:val="top"/>
          </w:tcPr>
          <w:p w14:paraId="1F007AC3">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p>
        </w:tc>
        <w:tc>
          <w:tcPr>
            <w:tcW w:w="1325" w:type="dxa"/>
            <w:vAlign w:val="top"/>
          </w:tcPr>
          <w:p w14:paraId="6FA2E3B9">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745" w:type="dxa"/>
            <w:vAlign w:val="top"/>
          </w:tcPr>
          <w:p w14:paraId="5E97A026">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115" w:type="dxa"/>
            <w:vAlign w:val="top"/>
          </w:tcPr>
          <w:p w14:paraId="6D7DAD9B">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615" w:type="dxa"/>
            <w:vAlign w:val="top"/>
          </w:tcPr>
          <w:p w14:paraId="5666E6F5">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188D82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4" w:hRule="atLeast"/>
          <w:jc w:val="center"/>
        </w:trPr>
        <w:tc>
          <w:tcPr>
            <w:tcW w:w="985" w:type="dxa"/>
            <w:vAlign w:val="top"/>
          </w:tcPr>
          <w:p w14:paraId="11DB8535">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p>
        </w:tc>
        <w:tc>
          <w:tcPr>
            <w:tcW w:w="1325" w:type="dxa"/>
            <w:vAlign w:val="top"/>
          </w:tcPr>
          <w:p w14:paraId="6D7FCD6B">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745" w:type="dxa"/>
            <w:vAlign w:val="top"/>
          </w:tcPr>
          <w:p w14:paraId="1BA538B0">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115" w:type="dxa"/>
            <w:vAlign w:val="top"/>
          </w:tcPr>
          <w:p w14:paraId="6D3D6FE9">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615" w:type="dxa"/>
            <w:vAlign w:val="top"/>
          </w:tcPr>
          <w:p w14:paraId="4EAEE9FE">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04297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0" w:hRule="atLeast"/>
          <w:jc w:val="center"/>
        </w:trPr>
        <w:tc>
          <w:tcPr>
            <w:tcW w:w="985" w:type="dxa"/>
            <w:vAlign w:val="top"/>
          </w:tcPr>
          <w:p w14:paraId="7355D9D1">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p>
        </w:tc>
        <w:tc>
          <w:tcPr>
            <w:tcW w:w="1325" w:type="dxa"/>
            <w:vAlign w:val="top"/>
          </w:tcPr>
          <w:p w14:paraId="20FAC718">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745" w:type="dxa"/>
            <w:vAlign w:val="top"/>
          </w:tcPr>
          <w:p w14:paraId="470187D7">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115" w:type="dxa"/>
            <w:vAlign w:val="top"/>
          </w:tcPr>
          <w:p w14:paraId="3A558B91">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615" w:type="dxa"/>
            <w:vAlign w:val="top"/>
          </w:tcPr>
          <w:p w14:paraId="5459EDB0">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0B30056E">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color w:val="auto"/>
          <w:sz w:val="24"/>
          <w:szCs w:val="24"/>
        </w:rPr>
      </w:pPr>
    </w:p>
    <w:p w14:paraId="1687D051">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1FBBFF8E">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3F66D5AD">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u w:val="single"/>
        </w:rPr>
        <w:t>　　　　　　　　　　</w:t>
      </w:r>
    </w:p>
    <w:p w14:paraId="0CE0623A">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page"/>
      </w:r>
    </w:p>
    <w:p w14:paraId="75471D27">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r>
        <w:rPr>
          <w:rFonts w:hint="eastAsia" w:ascii="宋体" w:hAnsi="宋体" w:eastAsia="宋体" w:cs="宋体"/>
          <w:b/>
          <w:color w:val="auto"/>
          <w:sz w:val="24"/>
          <w:szCs w:val="24"/>
        </w:rPr>
        <w:t>附件5-2        商务条件和其它事项响应表</w:t>
      </w:r>
    </w:p>
    <w:p w14:paraId="2D9F96A3">
      <w:pPr>
        <w:pStyle w:val="48"/>
        <w:keepNext w:val="0"/>
        <w:keepLines w:val="0"/>
        <w:pageBreakBefore w:val="0"/>
        <w:kinsoku/>
        <w:wordWrap/>
        <w:overflowPunct/>
        <w:topLinePunct w:val="0"/>
        <w:autoSpaceDE/>
        <w:autoSpaceDN/>
        <w:bidi w:val="0"/>
        <w:spacing w:line="360" w:lineRule="auto"/>
        <w:jc w:val="center"/>
        <w:textAlignment w:val="auto"/>
        <w:outlineLvl w:val="3"/>
        <w:rPr>
          <w:rFonts w:hint="eastAsia" w:ascii="宋体" w:hAnsi="宋体" w:eastAsia="宋体" w:cs="宋体"/>
          <w:b/>
          <w:color w:val="auto"/>
          <w:sz w:val="24"/>
          <w:szCs w:val="24"/>
        </w:rPr>
      </w:pPr>
    </w:p>
    <w:p w14:paraId="25E233B5">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（全称加盖单位公章）</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项目编号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rPr>
        <w:t>　　　　　　　　　　</w:t>
      </w:r>
    </w:p>
    <w:p w14:paraId="22183533">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u w:val="single"/>
        </w:rPr>
      </w:pPr>
    </w:p>
    <w:tbl>
      <w:tblPr>
        <w:tblStyle w:val="31"/>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28"/>
        <w:gridCol w:w="1815"/>
        <w:gridCol w:w="2345"/>
        <w:gridCol w:w="1897"/>
        <w:gridCol w:w="1318"/>
      </w:tblGrid>
      <w:tr w14:paraId="6F5A7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2" w:hRule="atLeast"/>
          <w:jc w:val="center"/>
        </w:trPr>
        <w:tc>
          <w:tcPr>
            <w:tcW w:w="1128" w:type="dxa"/>
            <w:vAlign w:val="top"/>
          </w:tcPr>
          <w:p w14:paraId="43CAEA62">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采购包</w:t>
            </w:r>
          </w:p>
        </w:tc>
        <w:tc>
          <w:tcPr>
            <w:tcW w:w="1815" w:type="dxa"/>
            <w:vAlign w:val="top"/>
          </w:tcPr>
          <w:p w14:paraId="5910587D">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章节条目号</w:t>
            </w:r>
          </w:p>
        </w:tc>
        <w:tc>
          <w:tcPr>
            <w:tcW w:w="2345" w:type="dxa"/>
            <w:vAlign w:val="top"/>
          </w:tcPr>
          <w:p w14:paraId="5858C584">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竞争性磋商文件规定的商务条件要求</w:t>
            </w:r>
          </w:p>
        </w:tc>
        <w:tc>
          <w:tcPr>
            <w:tcW w:w="1897" w:type="dxa"/>
            <w:vAlign w:val="top"/>
          </w:tcPr>
          <w:p w14:paraId="4CDF6679">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响应文件响应承诺</w:t>
            </w:r>
          </w:p>
        </w:tc>
        <w:tc>
          <w:tcPr>
            <w:tcW w:w="1318" w:type="dxa"/>
            <w:vAlign w:val="top"/>
          </w:tcPr>
          <w:p w14:paraId="0A271BD8">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是否偏离及说明</w:t>
            </w:r>
          </w:p>
        </w:tc>
      </w:tr>
      <w:tr w14:paraId="23D14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4" w:hRule="atLeast"/>
          <w:jc w:val="center"/>
        </w:trPr>
        <w:tc>
          <w:tcPr>
            <w:tcW w:w="1128" w:type="dxa"/>
            <w:vAlign w:val="top"/>
          </w:tcPr>
          <w:p w14:paraId="547E5FDB">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p>
        </w:tc>
        <w:tc>
          <w:tcPr>
            <w:tcW w:w="1815" w:type="dxa"/>
            <w:vAlign w:val="top"/>
          </w:tcPr>
          <w:p w14:paraId="752B64EF">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345" w:type="dxa"/>
            <w:vAlign w:val="top"/>
          </w:tcPr>
          <w:p w14:paraId="637AFF0A">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897" w:type="dxa"/>
            <w:vAlign w:val="top"/>
          </w:tcPr>
          <w:p w14:paraId="2E509ACF">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318" w:type="dxa"/>
            <w:vAlign w:val="top"/>
          </w:tcPr>
          <w:p w14:paraId="06BC8728">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0B3F0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4" w:hRule="atLeast"/>
          <w:jc w:val="center"/>
        </w:trPr>
        <w:tc>
          <w:tcPr>
            <w:tcW w:w="1128" w:type="dxa"/>
            <w:vAlign w:val="top"/>
          </w:tcPr>
          <w:p w14:paraId="590C6799">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p>
        </w:tc>
        <w:tc>
          <w:tcPr>
            <w:tcW w:w="1815" w:type="dxa"/>
            <w:vAlign w:val="top"/>
          </w:tcPr>
          <w:p w14:paraId="1D7A8521">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345" w:type="dxa"/>
            <w:vAlign w:val="top"/>
          </w:tcPr>
          <w:p w14:paraId="7B41DC29">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897" w:type="dxa"/>
            <w:vAlign w:val="top"/>
          </w:tcPr>
          <w:p w14:paraId="747AB587">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318" w:type="dxa"/>
            <w:vAlign w:val="top"/>
          </w:tcPr>
          <w:p w14:paraId="61BF449B">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72B8E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9" w:hRule="atLeast"/>
          <w:jc w:val="center"/>
        </w:trPr>
        <w:tc>
          <w:tcPr>
            <w:tcW w:w="1128" w:type="dxa"/>
            <w:vAlign w:val="top"/>
          </w:tcPr>
          <w:p w14:paraId="60A24D9B">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p>
        </w:tc>
        <w:tc>
          <w:tcPr>
            <w:tcW w:w="1815" w:type="dxa"/>
            <w:vAlign w:val="top"/>
          </w:tcPr>
          <w:p w14:paraId="1B396FAB">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345" w:type="dxa"/>
            <w:vAlign w:val="top"/>
          </w:tcPr>
          <w:p w14:paraId="2D8716FC">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897" w:type="dxa"/>
            <w:vAlign w:val="top"/>
          </w:tcPr>
          <w:p w14:paraId="020B3942">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1318" w:type="dxa"/>
            <w:vAlign w:val="top"/>
          </w:tcPr>
          <w:p w14:paraId="649DCA22">
            <w:pPr>
              <w:pStyle w:val="48"/>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7B8EB4ED">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color w:val="auto"/>
          <w:sz w:val="24"/>
          <w:szCs w:val="24"/>
        </w:rPr>
      </w:pPr>
    </w:p>
    <w:p w14:paraId="268725F6">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30FDEF81">
      <w:pPr>
        <w:pStyle w:val="48"/>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br w:type="textWrapping"/>
      </w:r>
    </w:p>
    <w:p w14:paraId="049692AA">
      <w:pPr>
        <w:pStyle w:val="48"/>
        <w:keepNext w:val="0"/>
        <w:keepLines w:val="0"/>
        <w:pageBreakBefore w:val="0"/>
        <w:kinsoku/>
        <w:wordWrap/>
        <w:overflowPunct/>
        <w:topLinePunct w:val="0"/>
        <w:autoSpaceDE/>
        <w:autoSpaceDN/>
        <w:bidi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u w:val="single"/>
        </w:rPr>
        <w:t>　　　　　　　　　　</w:t>
      </w:r>
    </w:p>
    <w:p w14:paraId="6AF8B763">
      <w:pPr>
        <w:pStyle w:val="26"/>
        <w:spacing w:before="75" w:beforeAutospacing="0" w:after="75" w:afterAutospacing="0" w:line="420" w:lineRule="atLeast"/>
        <w:rPr>
          <w:color w:val="auto"/>
        </w:rPr>
      </w:pPr>
    </w:p>
    <w:p w14:paraId="0A1B8807">
      <w:pPr>
        <w:pStyle w:val="26"/>
        <w:spacing w:before="75" w:beforeAutospacing="0" w:after="75" w:afterAutospacing="0" w:line="420" w:lineRule="atLeast"/>
        <w:rPr>
          <w:color w:val="auto"/>
        </w:rPr>
      </w:pPr>
    </w:p>
    <w:p w14:paraId="50C3C60A">
      <w:pPr>
        <w:pStyle w:val="26"/>
        <w:spacing w:before="75" w:beforeAutospacing="0" w:after="75" w:afterAutospacing="0" w:line="420" w:lineRule="atLeast"/>
        <w:rPr>
          <w:color w:val="auto"/>
        </w:rPr>
      </w:pPr>
    </w:p>
    <w:p w14:paraId="320F9D7D">
      <w:pPr>
        <w:pStyle w:val="26"/>
        <w:spacing w:before="75" w:beforeAutospacing="0" w:after="75" w:afterAutospacing="0" w:line="420" w:lineRule="atLeast"/>
        <w:rPr>
          <w:color w:val="auto"/>
        </w:rPr>
      </w:pPr>
    </w:p>
    <w:p w14:paraId="387CA79F">
      <w:pPr>
        <w:pStyle w:val="26"/>
        <w:spacing w:before="75" w:beforeAutospacing="0" w:after="75" w:afterAutospacing="0" w:line="420" w:lineRule="atLeast"/>
        <w:rPr>
          <w:color w:val="auto"/>
        </w:rPr>
      </w:pPr>
    </w:p>
    <w:p w14:paraId="2339D38C">
      <w:pPr>
        <w:pStyle w:val="26"/>
        <w:spacing w:before="75" w:beforeAutospacing="0" w:after="75" w:afterAutospacing="0" w:line="420" w:lineRule="atLeast"/>
        <w:rPr>
          <w:color w:val="auto"/>
        </w:rPr>
      </w:pPr>
    </w:p>
    <w:p w14:paraId="3DCF91B5">
      <w:pPr>
        <w:pStyle w:val="26"/>
        <w:spacing w:before="75" w:beforeAutospacing="0" w:after="75" w:afterAutospacing="0" w:line="420" w:lineRule="atLeast"/>
        <w:rPr>
          <w:color w:val="auto"/>
        </w:rPr>
      </w:pPr>
    </w:p>
    <w:p w14:paraId="2ABDF741">
      <w:pPr>
        <w:pStyle w:val="26"/>
        <w:spacing w:before="75" w:beforeAutospacing="0" w:after="75" w:afterAutospacing="0" w:line="420" w:lineRule="atLeast"/>
        <w:rPr>
          <w:color w:val="auto"/>
        </w:rPr>
      </w:pPr>
    </w:p>
    <w:p w14:paraId="36AAE1E1">
      <w:pPr>
        <w:pStyle w:val="26"/>
        <w:spacing w:before="75" w:beforeAutospacing="0" w:after="75" w:afterAutospacing="0" w:line="420" w:lineRule="atLeast"/>
        <w:rPr>
          <w:color w:val="auto"/>
        </w:rPr>
      </w:pPr>
      <w:r>
        <w:rPr>
          <w:rFonts w:hint="eastAsia"/>
          <w:color w:val="auto"/>
        </w:rPr>
        <w:t>附件6    </w:t>
      </w:r>
      <w:r>
        <w:rPr>
          <w:rStyle w:val="34"/>
          <w:rFonts w:hint="eastAsia"/>
          <w:color w:val="auto"/>
        </w:rPr>
        <w:t>  相关技术、商务、服务响应承诺及资料</w:t>
      </w:r>
    </w:p>
    <w:p w14:paraId="28FFF8DE">
      <w:pPr>
        <w:pStyle w:val="26"/>
        <w:spacing w:before="75" w:beforeAutospacing="0" w:after="75" w:afterAutospacing="0" w:line="420" w:lineRule="atLeast"/>
        <w:rPr>
          <w:color w:val="auto"/>
        </w:rPr>
      </w:pPr>
      <w:r>
        <w:rPr>
          <w:rFonts w:hint="eastAsia"/>
          <w:color w:val="auto"/>
        </w:rPr>
        <w:t> </w:t>
      </w:r>
    </w:p>
    <w:p w14:paraId="5FED7BEE">
      <w:pPr>
        <w:pStyle w:val="26"/>
        <w:spacing w:before="75" w:beforeAutospacing="0" w:after="75" w:afterAutospacing="0" w:line="495" w:lineRule="atLeast"/>
        <w:rPr>
          <w:color w:val="auto"/>
        </w:rPr>
      </w:pPr>
      <w:r>
        <w:rPr>
          <w:rStyle w:val="34"/>
          <w:rFonts w:hint="eastAsia"/>
          <w:color w:val="auto"/>
        </w:rPr>
        <w:t>说明：    </w:t>
      </w:r>
    </w:p>
    <w:p w14:paraId="5CEDF249">
      <w:pPr>
        <w:pStyle w:val="26"/>
        <w:spacing w:before="75" w:beforeAutospacing="0" w:after="75" w:afterAutospacing="0" w:line="495" w:lineRule="atLeast"/>
        <w:rPr>
          <w:color w:val="auto"/>
        </w:rPr>
      </w:pPr>
      <w:r>
        <w:rPr>
          <w:rFonts w:hint="eastAsia"/>
          <w:color w:val="auto"/>
        </w:rPr>
        <w:t>  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57F2953D">
      <w:pPr>
        <w:pStyle w:val="26"/>
        <w:spacing w:before="75" w:beforeAutospacing="0" w:after="75" w:afterAutospacing="0" w:line="495" w:lineRule="atLeast"/>
        <w:rPr>
          <w:color w:val="auto"/>
        </w:rPr>
      </w:pPr>
      <w:r>
        <w:rPr>
          <w:rFonts w:hint="eastAsia"/>
          <w:color w:val="auto"/>
        </w:rPr>
        <w:t>  2.如果没有特别要求的，供应商根据磋商文件的要求以及特点，提供相关技术、商务、服务响应承诺及资料，格式自拟。</w:t>
      </w:r>
    </w:p>
    <w:p w14:paraId="71341835">
      <w:pPr>
        <w:pStyle w:val="26"/>
        <w:spacing w:before="75" w:beforeAutospacing="0" w:after="75" w:afterAutospacing="0" w:line="495" w:lineRule="atLeast"/>
        <w:rPr>
          <w:color w:val="auto"/>
        </w:rPr>
      </w:pPr>
      <w:r>
        <w:rPr>
          <w:rStyle w:val="34"/>
          <w:rFonts w:hint="eastAsia"/>
          <w:color w:val="auto"/>
        </w:rPr>
        <w:t> </w:t>
      </w:r>
    </w:p>
    <w:p w14:paraId="5787980D">
      <w:pPr>
        <w:pStyle w:val="26"/>
        <w:spacing w:before="75" w:beforeAutospacing="0" w:after="75" w:afterAutospacing="0" w:line="495" w:lineRule="atLeast"/>
        <w:rPr>
          <w:color w:val="auto"/>
        </w:rPr>
      </w:pPr>
      <w:r>
        <w:rPr>
          <w:rStyle w:val="34"/>
          <w:rFonts w:hint="eastAsia"/>
          <w:color w:val="auto"/>
        </w:rPr>
        <w:t> </w:t>
      </w:r>
    </w:p>
    <w:p w14:paraId="044A7D66">
      <w:pPr>
        <w:pStyle w:val="26"/>
        <w:spacing w:before="75" w:beforeAutospacing="0" w:after="75" w:afterAutospacing="0" w:line="420" w:lineRule="atLeast"/>
        <w:ind w:firstLine="480"/>
        <w:rPr>
          <w:color w:val="auto"/>
        </w:rPr>
      </w:pPr>
      <w:r>
        <w:rPr>
          <w:rFonts w:hint="eastAsia"/>
          <w:color w:val="auto"/>
        </w:rPr>
        <w:t> </w:t>
      </w:r>
    </w:p>
    <w:p w14:paraId="5B3E7D67">
      <w:pPr>
        <w:pStyle w:val="26"/>
        <w:spacing w:before="75" w:beforeAutospacing="0" w:after="75" w:afterAutospacing="0" w:line="420" w:lineRule="atLeast"/>
        <w:ind w:firstLine="480"/>
        <w:rPr>
          <w:color w:val="auto"/>
        </w:rPr>
      </w:pPr>
      <w:r>
        <w:rPr>
          <w:rFonts w:hint="eastAsia"/>
          <w:color w:val="auto"/>
        </w:rPr>
        <w:t> </w:t>
      </w:r>
    </w:p>
    <w:p w14:paraId="365B5AF3">
      <w:pPr>
        <w:pStyle w:val="26"/>
        <w:spacing w:before="75" w:beforeAutospacing="0" w:after="75" w:afterAutospacing="0" w:line="435" w:lineRule="atLeast"/>
        <w:jc w:val="both"/>
        <w:rPr>
          <w:color w:val="auto"/>
        </w:rPr>
      </w:pPr>
      <w:r>
        <w:rPr>
          <w:rFonts w:hint="eastAsia"/>
          <w:color w:val="auto"/>
        </w:rPr>
        <w:t>供应商代表：</w:t>
      </w:r>
      <w:r>
        <w:rPr>
          <w:rFonts w:hint="eastAsia"/>
          <w:color w:val="auto"/>
          <w:u w:val="single"/>
        </w:rPr>
        <w:t>             （签字） </w:t>
      </w:r>
    </w:p>
    <w:p w14:paraId="7F424FE1">
      <w:pPr>
        <w:pStyle w:val="26"/>
        <w:spacing w:before="75" w:beforeAutospacing="0" w:after="75" w:afterAutospacing="0" w:line="435" w:lineRule="atLeast"/>
        <w:jc w:val="both"/>
        <w:rPr>
          <w:color w:val="auto"/>
        </w:rPr>
      </w:pPr>
      <w:r>
        <w:rPr>
          <w:rFonts w:hint="eastAsia"/>
          <w:color w:val="auto"/>
        </w:rPr>
        <w:t>供应商名称：</w:t>
      </w:r>
      <w:r>
        <w:rPr>
          <w:rFonts w:hint="eastAsia"/>
          <w:color w:val="auto"/>
          <w:u w:val="single"/>
        </w:rPr>
        <w:t>      （全称并加盖公章）</w:t>
      </w:r>
    </w:p>
    <w:p w14:paraId="1B69924C">
      <w:pPr>
        <w:pStyle w:val="26"/>
        <w:spacing w:before="75" w:beforeAutospacing="0" w:after="75" w:afterAutospacing="0" w:line="435" w:lineRule="atLeast"/>
        <w:rPr>
          <w:color w:val="auto"/>
        </w:rPr>
      </w:pPr>
      <w:r>
        <w:rPr>
          <w:rFonts w:hint="eastAsia"/>
          <w:color w:val="auto"/>
        </w:rPr>
        <w:t>日  期： </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50A10C52">
      <w:pPr>
        <w:pStyle w:val="26"/>
        <w:spacing w:before="75" w:beforeAutospacing="0" w:after="75" w:afterAutospacing="0" w:line="420" w:lineRule="atLeast"/>
        <w:ind w:firstLine="480"/>
        <w:rPr>
          <w:color w:val="auto"/>
        </w:rPr>
      </w:pPr>
      <w:r>
        <w:rPr>
          <w:rFonts w:hint="eastAsia"/>
          <w:color w:val="auto"/>
        </w:rPr>
        <w:t> </w:t>
      </w:r>
    </w:p>
    <w:p w14:paraId="6B18B28E">
      <w:pPr>
        <w:pStyle w:val="26"/>
        <w:spacing w:before="75" w:beforeAutospacing="0" w:after="75" w:afterAutospacing="0" w:line="495" w:lineRule="atLeast"/>
        <w:rPr>
          <w:color w:val="auto"/>
        </w:rPr>
      </w:pPr>
      <w:r>
        <w:rPr>
          <w:rFonts w:hint="eastAsia"/>
          <w:color w:val="auto"/>
        </w:rPr>
        <w:t> </w:t>
      </w:r>
    </w:p>
    <w:p w14:paraId="0FBAFDFA">
      <w:pPr>
        <w:pStyle w:val="26"/>
        <w:spacing w:before="75" w:beforeAutospacing="0" w:after="75" w:afterAutospacing="0" w:line="495" w:lineRule="atLeast"/>
        <w:rPr>
          <w:color w:val="auto"/>
        </w:rPr>
      </w:pPr>
      <w:r>
        <w:rPr>
          <w:rStyle w:val="34"/>
          <w:rFonts w:hint="eastAsia"/>
          <w:color w:val="auto"/>
        </w:rPr>
        <w:t> </w:t>
      </w:r>
    </w:p>
    <w:p w14:paraId="05C78263">
      <w:pPr>
        <w:pStyle w:val="26"/>
        <w:spacing w:before="75" w:beforeAutospacing="0" w:after="75" w:afterAutospacing="0" w:line="495" w:lineRule="atLeast"/>
        <w:rPr>
          <w:color w:val="auto"/>
        </w:rPr>
      </w:pPr>
      <w:r>
        <w:rPr>
          <w:rStyle w:val="34"/>
          <w:rFonts w:hint="eastAsia"/>
          <w:color w:val="auto"/>
        </w:rPr>
        <w:t> </w:t>
      </w:r>
    </w:p>
    <w:p w14:paraId="1C2ECA03">
      <w:pPr>
        <w:pStyle w:val="26"/>
        <w:spacing w:before="75" w:beforeAutospacing="0" w:after="75" w:afterAutospacing="0" w:line="495" w:lineRule="atLeast"/>
        <w:rPr>
          <w:color w:val="auto"/>
        </w:rPr>
      </w:pPr>
      <w:r>
        <w:rPr>
          <w:rStyle w:val="34"/>
          <w:rFonts w:hint="eastAsia"/>
          <w:color w:val="auto"/>
        </w:rPr>
        <w:t> </w:t>
      </w:r>
    </w:p>
    <w:p w14:paraId="20CFB485">
      <w:pPr>
        <w:pStyle w:val="26"/>
        <w:spacing w:before="75" w:beforeAutospacing="0" w:after="75" w:afterAutospacing="0"/>
        <w:rPr>
          <w:color w:val="auto"/>
        </w:rPr>
      </w:pPr>
      <w:r>
        <w:rPr>
          <w:rFonts w:hint="eastAsia"/>
          <w:color w:val="auto"/>
        </w:rPr>
        <w:t> </w:t>
      </w:r>
    </w:p>
    <w:p w14:paraId="629A49C0">
      <w:pPr>
        <w:pStyle w:val="26"/>
        <w:spacing w:before="75" w:beforeAutospacing="0" w:after="75" w:afterAutospacing="0" w:line="420" w:lineRule="atLeast"/>
        <w:rPr>
          <w:color w:val="auto"/>
        </w:rPr>
      </w:pPr>
      <w:r>
        <w:rPr>
          <w:rFonts w:hint="eastAsia"/>
          <w:color w:val="auto"/>
        </w:rPr>
        <w:t> </w:t>
      </w:r>
    </w:p>
    <w:p w14:paraId="078228DF">
      <w:pPr>
        <w:pStyle w:val="26"/>
        <w:spacing w:before="75" w:beforeAutospacing="0" w:after="75" w:afterAutospacing="0" w:line="465" w:lineRule="atLeast"/>
        <w:rPr>
          <w:color w:val="auto"/>
        </w:rPr>
      </w:pPr>
      <w:r>
        <w:rPr>
          <w:color w:val="auto"/>
        </w:rPr>
        <w:t> </w:t>
      </w:r>
    </w:p>
    <w:p w14:paraId="69A1A660">
      <w:pPr>
        <w:pStyle w:val="26"/>
        <w:spacing w:before="75" w:beforeAutospacing="0" w:after="75" w:afterAutospacing="0" w:line="465" w:lineRule="atLeast"/>
        <w:rPr>
          <w:rFonts w:eastAsia="宋体"/>
          <w:color w:val="auto"/>
        </w:rPr>
      </w:pPr>
    </w:p>
    <w:p w14:paraId="2E28F78C">
      <w:pPr>
        <w:spacing w:line="360" w:lineRule="auto"/>
        <w:jc w:val="left"/>
        <w:rPr>
          <w:rFonts w:hint="eastAsia" w:ascii="宋体" w:hAnsi="宋体"/>
          <w:b/>
          <w:color w:val="auto"/>
          <w:sz w:val="24"/>
        </w:rPr>
      </w:pPr>
      <w:r>
        <w:rPr>
          <w:color w:val="auto"/>
        </w:rPr>
        <w:br w:type="page"/>
      </w:r>
      <w:r>
        <w:rPr>
          <w:rFonts w:hint="eastAsia"/>
          <w:color w:val="auto"/>
          <w:sz w:val="24"/>
        </w:rPr>
        <w:t>附件</w:t>
      </w:r>
      <w:r>
        <w:rPr>
          <w:rFonts w:hint="eastAsia"/>
          <w:color w:val="auto"/>
          <w:sz w:val="24"/>
          <w:lang w:val="en-US" w:eastAsia="zh-CN"/>
        </w:rPr>
        <w:t>7</w:t>
      </w:r>
      <w:r>
        <w:rPr>
          <w:rFonts w:hint="eastAsia"/>
          <w:color w:val="auto"/>
          <w:sz w:val="24"/>
        </w:rPr>
        <w:t xml:space="preserve">              </w:t>
      </w:r>
      <w:r>
        <w:rPr>
          <w:rFonts w:hint="eastAsia" w:ascii="宋体" w:hAnsi="宋体"/>
          <w:b/>
          <w:color w:val="auto"/>
          <w:sz w:val="24"/>
        </w:rPr>
        <w:t>资格及评分标准对照情况点对点应答表</w:t>
      </w:r>
    </w:p>
    <w:p w14:paraId="42CFF2EE">
      <w:pPr>
        <w:spacing w:line="360" w:lineRule="auto"/>
        <w:jc w:val="center"/>
        <w:rPr>
          <w:rFonts w:hint="eastAsia" w:ascii="宋体" w:hAnsi="宋体"/>
          <w:color w:val="auto"/>
          <w:sz w:val="24"/>
        </w:rPr>
      </w:pPr>
    </w:p>
    <w:p w14:paraId="227444D0">
      <w:pPr>
        <w:spacing w:line="360" w:lineRule="auto"/>
        <w:ind w:firstLine="240" w:firstLineChars="100"/>
        <w:rPr>
          <w:rFonts w:hint="eastAsia" w:ascii="宋体" w:hAnsi="宋体"/>
          <w:color w:val="auto"/>
          <w:sz w:val="24"/>
        </w:rPr>
      </w:pPr>
      <w:r>
        <w:rPr>
          <w:rFonts w:hint="eastAsia" w:ascii="宋体" w:hAnsi="宋体"/>
          <w:color w:val="auto"/>
          <w:sz w:val="24"/>
        </w:rPr>
        <w:t>项目名称：                      项目编号：</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3"/>
        <w:gridCol w:w="4326"/>
        <w:gridCol w:w="2182"/>
      </w:tblGrid>
      <w:tr w14:paraId="31E7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54DBD19E">
            <w:pPr>
              <w:jc w:val="center"/>
              <w:rPr>
                <w:rFonts w:hint="eastAsia" w:ascii="宋体" w:hAnsi="宋体" w:cs="宋体"/>
                <w:b/>
                <w:color w:val="auto"/>
                <w:sz w:val="24"/>
              </w:rPr>
            </w:pPr>
            <w:r>
              <w:rPr>
                <w:rFonts w:hint="eastAsia" w:ascii="宋体" w:hAnsi="宋体" w:cs="宋体"/>
                <w:b/>
                <w:color w:val="auto"/>
                <w:sz w:val="24"/>
              </w:rPr>
              <w:t>资格标准内容</w:t>
            </w:r>
          </w:p>
        </w:tc>
        <w:tc>
          <w:tcPr>
            <w:tcW w:w="4326" w:type="dxa"/>
            <w:vAlign w:val="center"/>
          </w:tcPr>
          <w:p w14:paraId="49DCAF4F">
            <w:pPr>
              <w:jc w:val="center"/>
              <w:rPr>
                <w:rFonts w:hint="eastAsia" w:ascii="宋体" w:hAnsi="宋体" w:cs="宋体"/>
                <w:b/>
                <w:color w:val="auto"/>
                <w:sz w:val="24"/>
              </w:rPr>
            </w:pPr>
            <w:r>
              <w:rPr>
                <w:rFonts w:hint="eastAsia" w:ascii="宋体" w:hAnsi="宋体" w:cs="宋体"/>
                <w:b/>
                <w:color w:val="auto"/>
                <w:sz w:val="24"/>
              </w:rPr>
              <w:t>响应情况</w:t>
            </w:r>
          </w:p>
        </w:tc>
        <w:tc>
          <w:tcPr>
            <w:tcW w:w="2182" w:type="dxa"/>
            <w:vAlign w:val="center"/>
          </w:tcPr>
          <w:p w14:paraId="0D288C10">
            <w:pPr>
              <w:jc w:val="center"/>
              <w:rPr>
                <w:rFonts w:hint="eastAsia" w:ascii="宋体" w:hAnsi="宋体" w:cs="宋体"/>
                <w:b/>
                <w:color w:val="auto"/>
                <w:sz w:val="24"/>
              </w:rPr>
            </w:pPr>
            <w:r>
              <w:rPr>
                <w:rFonts w:hint="eastAsia" w:ascii="宋体" w:hAnsi="宋体" w:cs="宋体"/>
                <w:b/>
                <w:color w:val="auto"/>
                <w:sz w:val="24"/>
              </w:rPr>
              <w:t>详见页码</w:t>
            </w:r>
          </w:p>
        </w:tc>
      </w:tr>
      <w:tr w14:paraId="58A6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2AA6CCD0">
            <w:pPr>
              <w:jc w:val="center"/>
              <w:rPr>
                <w:rFonts w:hint="eastAsia" w:ascii="宋体" w:hAnsi="宋体" w:cs="宋体"/>
                <w:color w:val="auto"/>
                <w:sz w:val="24"/>
              </w:rPr>
            </w:pPr>
          </w:p>
        </w:tc>
        <w:tc>
          <w:tcPr>
            <w:tcW w:w="4326" w:type="dxa"/>
            <w:vAlign w:val="center"/>
          </w:tcPr>
          <w:p w14:paraId="50E3410C">
            <w:pPr>
              <w:jc w:val="center"/>
              <w:rPr>
                <w:rFonts w:hint="eastAsia" w:ascii="宋体" w:hAnsi="宋体" w:cs="宋体"/>
                <w:color w:val="auto"/>
                <w:sz w:val="24"/>
              </w:rPr>
            </w:pPr>
          </w:p>
        </w:tc>
        <w:tc>
          <w:tcPr>
            <w:tcW w:w="2182" w:type="dxa"/>
            <w:vAlign w:val="center"/>
          </w:tcPr>
          <w:p w14:paraId="11089439">
            <w:pPr>
              <w:jc w:val="center"/>
              <w:rPr>
                <w:rFonts w:hint="eastAsia" w:ascii="宋体" w:hAnsi="宋体" w:cs="宋体"/>
                <w:color w:val="auto"/>
                <w:sz w:val="24"/>
              </w:rPr>
            </w:pPr>
          </w:p>
        </w:tc>
      </w:tr>
      <w:tr w14:paraId="6326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58CC8E99">
            <w:pPr>
              <w:jc w:val="center"/>
              <w:rPr>
                <w:rFonts w:hint="eastAsia" w:ascii="宋体" w:hAnsi="宋体" w:cs="宋体"/>
                <w:color w:val="auto"/>
                <w:sz w:val="24"/>
              </w:rPr>
            </w:pPr>
          </w:p>
        </w:tc>
        <w:tc>
          <w:tcPr>
            <w:tcW w:w="4326" w:type="dxa"/>
            <w:vAlign w:val="center"/>
          </w:tcPr>
          <w:p w14:paraId="449C198A">
            <w:pPr>
              <w:jc w:val="center"/>
              <w:rPr>
                <w:rFonts w:hint="eastAsia" w:ascii="宋体" w:hAnsi="宋体" w:cs="宋体"/>
                <w:color w:val="auto"/>
                <w:sz w:val="24"/>
              </w:rPr>
            </w:pPr>
          </w:p>
        </w:tc>
        <w:tc>
          <w:tcPr>
            <w:tcW w:w="2182" w:type="dxa"/>
            <w:vAlign w:val="center"/>
          </w:tcPr>
          <w:p w14:paraId="2A0023D0">
            <w:pPr>
              <w:jc w:val="center"/>
              <w:rPr>
                <w:rFonts w:hint="eastAsia" w:ascii="宋体" w:hAnsi="宋体" w:cs="宋体"/>
                <w:color w:val="auto"/>
                <w:sz w:val="24"/>
              </w:rPr>
            </w:pPr>
          </w:p>
        </w:tc>
      </w:tr>
      <w:tr w14:paraId="7DD0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615BDB43">
            <w:pPr>
              <w:jc w:val="center"/>
              <w:rPr>
                <w:rFonts w:hint="eastAsia" w:ascii="宋体" w:hAnsi="宋体" w:cs="宋体"/>
                <w:color w:val="auto"/>
                <w:sz w:val="24"/>
              </w:rPr>
            </w:pPr>
          </w:p>
        </w:tc>
        <w:tc>
          <w:tcPr>
            <w:tcW w:w="4326" w:type="dxa"/>
            <w:vAlign w:val="center"/>
          </w:tcPr>
          <w:p w14:paraId="10E6092E">
            <w:pPr>
              <w:jc w:val="center"/>
              <w:rPr>
                <w:rFonts w:hint="eastAsia" w:ascii="宋体" w:hAnsi="宋体" w:cs="宋体"/>
                <w:color w:val="auto"/>
                <w:sz w:val="24"/>
              </w:rPr>
            </w:pPr>
          </w:p>
        </w:tc>
        <w:tc>
          <w:tcPr>
            <w:tcW w:w="2182" w:type="dxa"/>
            <w:vAlign w:val="center"/>
          </w:tcPr>
          <w:p w14:paraId="21F49D8B">
            <w:pPr>
              <w:jc w:val="center"/>
              <w:rPr>
                <w:rFonts w:hint="eastAsia" w:ascii="宋体" w:hAnsi="宋体" w:cs="宋体"/>
                <w:color w:val="auto"/>
                <w:sz w:val="24"/>
              </w:rPr>
            </w:pPr>
          </w:p>
        </w:tc>
      </w:tr>
      <w:tr w14:paraId="29B5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2F3CECE8">
            <w:pPr>
              <w:jc w:val="center"/>
              <w:rPr>
                <w:rFonts w:hint="eastAsia" w:ascii="宋体" w:hAnsi="宋体" w:cs="宋体"/>
                <w:color w:val="auto"/>
                <w:sz w:val="24"/>
              </w:rPr>
            </w:pPr>
          </w:p>
        </w:tc>
        <w:tc>
          <w:tcPr>
            <w:tcW w:w="4326" w:type="dxa"/>
            <w:vAlign w:val="center"/>
          </w:tcPr>
          <w:p w14:paraId="40E05B89">
            <w:pPr>
              <w:jc w:val="center"/>
              <w:rPr>
                <w:rFonts w:hint="eastAsia" w:ascii="宋体" w:hAnsi="宋体" w:cs="宋体"/>
                <w:color w:val="auto"/>
                <w:sz w:val="24"/>
              </w:rPr>
            </w:pPr>
          </w:p>
        </w:tc>
        <w:tc>
          <w:tcPr>
            <w:tcW w:w="2182" w:type="dxa"/>
            <w:vAlign w:val="center"/>
          </w:tcPr>
          <w:p w14:paraId="08E2C243">
            <w:pPr>
              <w:jc w:val="center"/>
              <w:rPr>
                <w:rFonts w:hint="eastAsia" w:ascii="宋体" w:hAnsi="宋体" w:cs="宋体"/>
                <w:color w:val="auto"/>
                <w:sz w:val="24"/>
              </w:rPr>
            </w:pPr>
          </w:p>
        </w:tc>
      </w:tr>
      <w:tr w14:paraId="5F45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743EB095">
            <w:pPr>
              <w:jc w:val="center"/>
              <w:rPr>
                <w:rFonts w:hint="eastAsia" w:ascii="宋体" w:hAnsi="宋体" w:cs="宋体"/>
                <w:color w:val="auto"/>
                <w:sz w:val="24"/>
              </w:rPr>
            </w:pPr>
          </w:p>
        </w:tc>
        <w:tc>
          <w:tcPr>
            <w:tcW w:w="4326" w:type="dxa"/>
            <w:vAlign w:val="center"/>
          </w:tcPr>
          <w:p w14:paraId="44C71238">
            <w:pPr>
              <w:jc w:val="center"/>
              <w:rPr>
                <w:rFonts w:hint="eastAsia" w:ascii="宋体" w:hAnsi="宋体" w:cs="宋体"/>
                <w:color w:val="auto"/>
                <w:sz w:val="24"/>
              </w:rPr>
            </w:pPr>
          </w:p>
        </w:tc>
        <w:tc>
          <w:tcPr>
            <w:tcW w:w="2182" w:type="dxa"/>
            <w:vAlign w:val="center"/>
          </w:tcPr>
          <w:p w14:paraId="2FF6B005">
            <w:pPr>
              <w:jc w:val="center"/>
              <w:rPr>
                <w:rFonts w:hint="eastAsia" w:ascii="宋体" w:hAnsi="宋体" w:cs="宋体"/>
                <w:color w:val="auto"/>
                <w:sz w:val="24"/>
              </w:rPr>
            </w:pPr>
          </w:p>
        </w:tc>
      </w:tr>
    </w:tbl>
    <w:p w14:paraId="53B225AE">
      <w:pPr>
        <w:spacing w:line="360" w:lineRule="auto"/>
        <w:ind w:firstLine="240" w:firstLineChars="100"/>
        <w:rPr>
          <w:rFonts w:hint="eastAsia" w:ascii="宋体" w:hAnsi="宋体"/>
          <w:color w:val="auto"/>
          <w:sz w:val="24"/>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3"/>
        <w:gridCol w:w="4326"/>
        <w:gridCol w:w="2182"/>
      </w:tblGrid>
      <w:tr w14:paraId="158E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52043338">
            <w:pPr>
              <w:jc w:val="center"/>
              <w:rPr>
                <w:rFonts w:hint="eastAsia" w:ascii="宋体" w:hAnsi="宋体" w:cs="宋体"/>
                <w:b/>
                <w:color w:val="auto"/>
                <w:sz w:val="24"/>
              </w:rPr>
            </w:pPr>
            <w:r>
              <w:rPr>
                <w:rFonts w:hint="eastAsia" w:ascii="宋体" w:hAnsi="宋体" w:cs="宋体"/>
                <w:b/>
                <w:color w:val="auto"/>
                <w:sz w:val="24"/>
              </w:rPr>
              <w:t>技术部分评分内容</w:t>
            </w:r>
          </w:p>
        </w:tc>
        <w:tc>
          <w:tcPr>
            <w:tcW w:w="4326" w:type="dxa"/>
            <w:vAlign w:val="center"/>
          </w:tcPr>
          <w:p w14:paraId="1531B2FD">
            <w:pPr>
              <w:jc w:val="center"/>
              <w:rPr>
                <w:rFonts w:hint="eastAsia" w:ascii="宋体" w:hAnsi="宋体" w:cs="宋体"/>
                <w:b/>
                <w:color w:val="auto"/>
                <w:sz w:val="24"/>
              </w:rPr>
            </w:pPr>
            <w:r>
              <w:rPr>
                <w:rFonts w:hint="eastAsia" w:ascii="宋体" w:hAnsi="宋体" w:cs="宋体"/>
                <w:b/>
                <w:color w:val="auto"/>
                <w:sz w:val="24"/>
              </w:rPr>
              <w:t>响应情况</w:t>
            </w:r>
          </w:p>
        </w:tc>
        <w:tc>
          <w:tcPr>
            <w:tcW w:w="2182" w:type="dxa"/>
            <w:vAlign w:val="center"/>
          </w:tcPr>
          <w:p w14:paraId="3DEC68B2">
            <w:pPr>
              <w:jc w:val="center"/>
              <w:rPr>
                <w:rFonts w:hint="eastAsia" w:ascii="宋体" w:hAnsi="宋体" w:cs="宋体"/>
                <w:b/>
                <w:color w:val="auto"/>
                <w:sz w:val="24"/>
              </w:rPr>
            </w:pPr>
            <w:r>
              <w:rPr>
                <w:rFonts w:hint="eastAsia" w:ascii="宋体" w:hAnsi="宋体" w:cs="宋体"/>
                <w:b/>
                <w:color w:val="auto"/>
                <w:sz w:val="24"/>
              </w:rPr>
              <w:t>详见页码</w:t>
            </w:r>
          </w:p>
        </w:tc>
      </w:tr>
      <w:tr w14:paraId="692A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5E6F7AD8">
            <w:pPr>
              <w:jc w:val="center"/>
              <w:rPr>
                <w:rFonts w:hint="eastAsia" w:ascii="宋体" w:hAnsi="宋体" w:cs="宋体"/>
                <w:color w:val="auto"/>
                <w:sz w:val="24"/>
              </w:rPr>
            </w:pPr>
          </w:p>
        </w:tc>
        <w:tc>
          <w:tcPr>
            <w:tcW w:w="4326" w:type="dxa"/>
            <w:vAlign w:val="center"/>
          </w:tcPr>
          <w:p w14:paraId="3E4EC020">
            <w:pPr>
              <w:jc w:val="center"/>
              <w:rPr>
                <w:rFonts w:hint="eastAsia" w:ascii="宋体" w:hAnsi="宋体" w:cs="宋体"/>
                <w:color w:val="auto"/>
                <w:sz w:val="24"/>
              </w:rPr>
            </w:pPr>
          </w:p>
        </w:tc>
        <w:tc>
          <w:tcPr>
            <w:tcW w:w="2182" w:type="dxa"/>
            <w:vAlign w:val="center"/>
          </w:tcPr>
          <w:p w14:paraId="09ED9008">
            <w:pPr>
              <w:jc w:val="center"/>
              <w:rPr>
                <w:rFonts w:hint="eastAsia" w:ascii="宋体" w:hAnsi="宋体" w:cs="宋体"/>
                <w:color w:val="auto"/>
                <w:sz w:val="24"/>
              </w:rPr>
            </w:pPr>
          </w:p>
        </w:tc>
      </w:tr>
      <w:tr w14:paraId="0B53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711EA368">
            <w:pPr>
              <w:jc w:val="center"/>
              <w:rPr>
                <w:rFonts w:hint="eastAsia" w:ascii="宋体" w:hAnsi="宋体" w:cs="宋体"/>
                <w:color w:val="auto"/>
                <w:sz w:val="24"/>
              </w:rPr>
            </w:pPr>
          </w:p>
        </w:tc>
        <w:tc>
          <w:tcPr>
            <w:tcW w:w="4326" w:type="dxa"/>
            <w:vAlign w:val="center"/>
          </w:tcPr>
          <w:p w14:paraId="4BADF9B9">
            <w:pPr>
              <w:jc w:val="center"/>
              <w:rPr>
                <w:rFonts w:hint="eastAsia" w:ascii="宋体" w:hAnsi="宋体" w:cs="宋体"/>
                <w:color w:val="auto"/>
                <w:sz w:val="24"/>
              </w:rPr>
            </w:pPr>
          </w:p>
        </w:tc>
        <w:tc>
          <w:tcPr>
            <w:tcW w:w="2182" w:type="dxa"/>
            <w:vAlign w:val="center"/>
          </w:tcPr>
          <w:p w14:paraId="78360C66">
            <w:pPr>
              <w:jc w:val="center"/>
              <w:rPr>
                <w:rFonts w:hint="eastAsia" w:ascii="宋体" w:hAnsi="宋体" w:cs="宋体"/>
                <w:color w:val="auto"/>
                <w:sz w:val="24"/>
              </w:rPr>
            </w:pPr>
          </w:p>
        </w:tc>
      </w:tr>
      <w:tr w14:paraId="586F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30F320C7">
            <w:pPr>
              <w:jc w:val="center"/>
              <w:rPr>
                <w:rFonts w:hint="eastAsia" w:ascii="宋体" w:hAnsi="宋体" w:cs="宋体"/>
                <w:color w:val="auto"/>
                <w:sz w:val="24"/>
              </w:rPr>
            </w:pPr>
          </w:p>
        </w:tc>
        <w:tc>
          <w:tcPr>
            <w:tcW w:w="4326" w:type="dxa"/>
            <w:vAlign w:val="center"/>
          </w:tcPr>
          <w:p w14:paraId="6D25C7F0">
            <w:pPr>
              <w:jc w:val="center"/>
              <w:rPr>
                <w:rFonts w:hint="eastAsia" w:ascii="宋体" w:hAnsi="宋体" w:cs="宋体"/>
                <w:color w:val="auto"/>
                <w:sz w:val="24"/>
              </w:rPr>
            </w:pPr>
          </w:p>
        </w:tc>
        <w:tc>
          <w:tcPr>
            <w:tcW w:w="2182" w:type="dxa"/>
            <w:vAlign w:val="center"/>
          </w:tcPr>
          <w:p w14:paraId="5589AA19">
            <w:pPr>
              <w:jc w:val="center"/>
              <w:rPr>
                <w:rFonts w:hint="eastAsia" w:ascii="宋体" w:hAnsi="宋体" w:cs="宋体"/>
                <w:color w:val="auto"/>
                <w:sz w:val="24"/>
              </w:rPr>
            </w:pPr>
          </w:p>
        </w:tc>
      </w:tr>
      <w:tr w14:paraId="5A3F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47A156CF">
            <w:pPr>
              <w:jc w:val="center"/>
              <w:rPr>
                <w:rFonts w:hint="eastAsia" w:ascii="宋体" w:hAnsi="宋体" w:cs="宋体"/>
                <w:color w:val="auto"/>
                <w:sz w:val="24"/>
              </w:rPr>
            </w:pPr>
          </w:p>
        </w:tc>
        <w:tc>
          <w:tcPr>
            <w:tcW w:w="4326" w:type="dxa"/>
            <w:vAlign w:val="center"/>
          </w:tcPr>
          <w:p w14:paraId="62A306D4">
            <w:pPr>
              <w:jc w:val="center"/>
              <w:rPr>
                <w:rFonts w:hint="eastAsia" w:ascii="宋体" w:hAnsi="宋体" w:cs="宋体"/>
                <w:color w:val="auto"/>
                <w:sz w:val="24"/>
              </w:rPr>
            </w:pPr>
          </w:p>
        </w:tc>
        <w:tc>
          <w:tcPr>
            <w:tcW w:w="2182" w:type="dxa"/>
            <w:vAlign w:val="center"/>
          </w:tcPr>
          <w:p w14:paraId="1B10E9D4">
            <w:pPr>
              <w:jc w:val="center"/>
              <w:rPr>
                <w:rFonts w:hint="eastAsia" w:ascii="宋体" w:hAnsi="宋体" w:cs="宋体"/>
                <w:color w:val="auto"/>
                <w:sz w:val="24"/>
              </w:rPr>
            </w:pPr>
          </w:p>
        </w:tc>
      </w:tr>
      <w:tr w14:paraId="6AFC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3" w:type="dxa"/>
            <w:vAlign w:val="center"/>
          </w:tcPr>
          <w:p w14:paraId="2452E6D9">
            <w:pPr>
              <w:jc w:val="center"/>
              <w:rPr>
                <w:rFonts w:hint="eastAsia" w:ascii="宋体" w:hAnsi="宋体" w:cs="宋体"/>
                <w:color w:val="auto"/>
                <w:sz w:val="24"/>
              </w:rPr>
            </w:pPr>
          </w:p>
        </w:tc>
        <w:tc>
          <w:tcPr>
            <w:tcW w:w="4326" w:type="dxa"/>
            <w:vAlign w:val="center"/>
          </w:tcPr>
          <w:p w14:paraId="6618AFFF">
            <w:pPr>
              <w:jc w:val="center"/>
              <w:rPr>
                <w:rFonts w:hint="eastAsia" w:ascii="宋体" w:hAnsi="宋体" w:cs="宋体"/>
                <w:color w:val="auto"/>
                <w:sz w:val="24"/>
              </w:rPr>
            </w:pPr>
          </w:p>
        </w:tc>
        <w:tc>
          <w:tcPr>
            <w:tcW w:w="2182" w:type="dxa"/>
            <w:vAlign w:val="center"/>
          </w:tcPr>
          <w:p w14:paraId="7A4317B5">
            <w:pPr>
              <w:jc w:val="center"/>
              <w:rPr>
                <w:rFonts w:hint="eastAsia" w:ascii="宋体" w:hAnsi="宋体" w:cs="宋体"/>
                <w:color w:val="auto"/>
                <w:sz w:val="24"/>
              </w:rPr>
            </w:pPr>
          </w:p>
        </w:tc>
      </w:tr>
    </w:tbl>
    <w:p w14:paraId="79C8F493">
      <w:pPr>
        <w:spacing w:line="360" w:lineRule="auto"/>
        <w:jc w:val="center"/>
        <w:rPr>
          <w:rFonts w:hint="eastAsia" w:ascii="宋体" w:hAnsi="宋体"/>
          <w:color w:val="auto"/>
          <w:sz w:val="24"/>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4282"/>
        <w:gridCol w:w="2393"/>
      </w:tblGrid>
      <w:tr w14:paraId="2159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vAlign w:val="center"/>
          </w:tcPr>
          <w:p w14:paraId="07898F82">
            <w:pPr>
              <w:ind w:left="-674" w:leftChars="-321"/>
              <w:jc w:val="center"/>
              <w:rPr>
                <w:rFonts w:hint="eastAsia" w:ascii="宋体" w:hAnsi="宋体" w:cs="宋体"/>
                <w:b/>
                <w:color w:val="auto"/>
                <w:sz w:val="24"/>
              </w:rPr>
            </w:pPr>
            <w:r>
              <w:rPr>
                <w:rFonts w:hint="eastAsia" w:ascii="宋体" w:hAnsi="宋体" w:cs="宋体"/>
                <w:b/>
                <w:color w:val="auto"/>
                <w:sz w:val="24"/>
              </w:rPr>
              <w:t>商务部分评分内容</w:t>
            </w:r>
          </w:p>
        </w:tc>
        <w:tc>
          <w:tcPr>
            <w:tcW w:w="4282" w:type="dxa"/>
            <w:vAlign w:val="center"/>
          </w:tcPr>
          <w:p w14:paraId="781BC40C">
            <w:pPr>
              <w:jc w:val="center"/>
              <w:rPr>
                <w:rFonts w:hint="eastAsia" w:ascii="宋体" w:hAnsi="宋体" w:cs="宋体"/>
                <w:b/>
                <w:color w:val="auto"/>
                <w:sz w:val="24"/>
              </w:rPr>
            </w:pPr>
            <w:r>
              <w:rPr>
                <w:rFonts w:hint="eastAsia" w:ascii="宋体" w:hAnsi="宋体" w:cs="宋体"/>
                <w:b/>
                <w:color w:val="auto"/>
                <w:sz w:val="24"/>
              </w:rPr>
              <w:t>响应情况</w:t>
            </w:r>
          </w:p>
        </w:tc>
        <w:tc>
          <w:tcPr>
            <w:tcW w:w="2393" w:type="dxa"/>
            <w:vAlign w:val="center"/>
          </w:tcPr>
          <w:p w14:paraId="7A1D6B21">
            <w:pPr>
              <w:jc w:val="center"/>
              <w:rPr>
                <w:rFonts w:hint="eastAsia" w:ascii="宋体" w:hAnsi="宋体" w:cs="宋体"/>
                <w:b/>
                <w:color w:val="auto"/>
                <w:sz w:val="24"/>
              </w:rPr>
            </w:pPr>
            <w:r>
              <w:rPr>
                <w:rFonts w:hint="eastAsia" w:ascii="宋体" w:hAnsi="宋体" w:cs="宋体"/>
                <w:b/>
                <w:color w:val="auto"/>
                <w:sz w:val="24"/>
              </w:rPr>
              <w:t>详见页码</w:t>
            </w:r>
          </w:p>
        </w:tc>
      </w:tr>
      <w:tr w14:paraId="6FE7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vAlign w:val="center"/>
          </w:tcPr>
          <w:p w14:paraId="3336FAAC">
            <w:pPr>
              <w:ind w:left="-674" w:leftChars="-321"/>
              <w:jc w:val="center"/>
              <w:rPr>
                <w:rFonts w:hint="eastAsia" w:ascii="宋体" w:hAnsi="宋体" w:cs="宋体"/>
                <w:color w:val="auto"/>
                <w:sz w:val="24"/>
              </w:rPr>
            </w:pPr>
          </w:p>
        </w:tc>
        <w:tc>
          <w:tcPr>
            <w:tcW w:w="4282" w:type="dxa"/>
            <w:vAlign w:val="center"/>
          </w:tcPr>
          <w:p w14:paraId="22EAF64A">
            <w:pPr>
              <w:jc w:val="center"/>
              <w:rPr>
                <w:rFonts w:hint="eastAsia" w:ascii="宋体" w:hAnsi="宋体" w:cs="宋体"/>
                <w:color w:val="auto"/>
                <w:sz w:val="24"/>
              </w:rPr>
            </w:pPr>
          </w:p>
        </w:tc>
        <w:tc>
          <w:tcPr>
            <w:tcW w:w="2393" w:type="dxa"/>
            <w:vAlign w:val="center"/>
          </w:tcPr>
          <w:p w14:paraId="2EF31751">
            <w:pPr>
              <w:jc w:val="center"/>
              <w:rPr>
                <w:rFonts w:hint="eastAsia" w:ascii="宋体" w:hAnsi="宋体" w:cs="宋体"/>
                <w:color w:val="auto"/>
                <w:sz w:val="24"/>
              </w:rPr>
            </w:pPr>
          </w:p>
        </w:tc>
      </w:tr>
      <w:tr w14:paraId="4C6E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vAlign w:val="center"/>
          </w:tcPr>
          <w:p w14:paraId="3C538856">
            <w:pPr>
              <w:ind w:left="-674" w:leftChars="-321"/>
              <w:jc w:val="center"/>
              <w:rPr>
                <w:rFonts w:hint="eastAsia" w:ascii="宋体" w:hAnsi="宋体" w:cs="宋体"/>
                <w:color w:val="auto"/>
                <w:sz w:val="24"/>
              </w:rPr>
            </w:pPr>
          </w:p>
        </w:tc>
        <w:tc>
          <w:tcPr>
            <w:tcW w:w="4282" w:type="dxa"/>
            <w:vAlign w:val="center"/>
          </w:tcPr>
          <w:p w14:paraId="4C38338C">
            <w:pPr>
              <w:jc w:val="center"/>
              <w:rPr>
                <w:rFonts w:hint="eastAsia" w:ascii="宋体" w:hAnsi="宋体" w:cs="宋体"/>
                <w:color w:val="auto"/>
                <w:sz w:val="24"/>
              </w:rPr>
            </w:pPr>
          </w:p>
        </w:tc>
        <w:tc>
          <w:tcPr>
            <w:tcW w:w="2393" w:type="dxa"/>
            <w:vAlign w:val="center"/>
          </w:tcPr>
          <w:p w14:paraId="21943FB0">
            <w:pPr>
              <w:jc w:val="center"/>
              <w:rPr>
                <w:rFonts w:hint="eastAsia" w:ascii="宋体" w:hAnsi="宋体" w:cs="宋体"/>
                <w:color w:val="auto"/>
                <w:sz w:val="24"/>
              </w:rPr>
            </w:pPr>
          </w:p>
        </w:tc>
      </w:tr>
      <w:tr w14:paraId="69BC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vAlign w:val="center"/>
          </w:tcPr>
          <w:p w14:paraId="1F7C0201">
            <w:pPr>
              <w:ind w:left="-674" w:leftChars="-321"/>
              <w:jc w:val="center"/>
              <w:rPr>
                <w:rFonts w:hint="eastAsia" w:ascii="宋体" w:hAnsi="宋体" w:cs="宋体"/>
                <w:color w:val="auto"/>
                <w:sz w:val="24"/>
              </w:rPr>
            </w:pPr>
          </w:p>
        </w:tc>
        <w:tc>
          <w:tcPr>
            <w:tcW w:w="4282" w:type="dxa"/>
            <w:vAlign w:val="center"/>
          </w:tcPr>
          <w:p w14:paraId="2E279D03">
            <w:pPr>
              <w:jc w:val="center"/>
              <w:rPr>
                <w:rFonts w:hint="eastAsia" w:ascii="宋体" w:hAnsi="宋体" w:cs="宋体"/>
                <w:color w:val="auto"/>
                <w:sz w:val="24"/>
              </w:rPr>
            </w:pPr>
          </w:p>
        </w:tc>
        <w:tc>
          <w:tcPr>
            <w:tcW w:w="2393" w:type="dxa"/>
            <w:vAlign w:val="center"/>
          </w:tcPr>
          <w:p w14:paraId="272A1CA1">
            <w:pPr>
              <w:jc w:val="center"/>
              <w:rPr>
                <w:rFonts w:hint="eastAsia" w:ascii="宋体" w:hAnsi="宋体" w:cs="宋体"/>
                <w:color w:val="auto"/>
                <w:sz w:val="24"/>
              </w:rPr>
            </w:pPr>
          </w:p>
        </w:tc>
      </w:tr>
      <w:tr w14:paraId="4575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vAlign w:val="center"/>
          </w:tcPr>
          <w:p w14:paraId="48A21063">
            <w:pPr>
              <w:ind w:left="-674" w:leftChars="-321"/>
              <w:jc w:val="center"/>
              <w:rPr>
                <w:rFonts w:hint="eastAsia" w:ascii="宋体" w:hAnsi="宋体" w:cs="宋体"/>
                <w:color w:val="auto"/>
                <w:sz w:val="24"/>
              </w:rPr>
            </w:pPr>
          </w:p>
        </w:tc>
        <w:tc>
          <w:tcPr>
            <w:tcW w:w="4282" w:type="dxa"/>
            <w:vAlign w:val="center"/>
          </w:tcPr>
          <w:p w14:paraId="436531D2">
            <w:pPr>
              <w:jc w:val="center"/>
              <w:rPr>
                <w:rFonts w:hint="eastAsia" w:ascii="宋体" w:hAnsi="宋体" w:cs="宋体"/>
                <w:color w:val="auto"/>
                <w:sz w:val="24"/>
              </w:rPr>
            </w:pPr>
          </w:p>
        </w:tc>
        <w:tc>
          <w:tcPr>
            <w:tcW w:w="2393" w:type="dxa"/>
            <w:vAlign w:val="center"/>
          </w:tcPr>
          <w:p w14:paraId="38C4B545">
            <w:pPr>
              <w:jc w:val="center"/>
              <w:rPr>
                <w:rFonts w:hint="eastAsia" w:ascii="宋体" w:hAnsi="宋体" w:cs="宋体"/>
                <w:color w:val="auto"/>
                <w:sz w:val="24"/>
              </w:rPr>
            </w:pPr>
          </w:p>
        </w:tc>
      </w:tr>
      <w:tr w14:paraId="5296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vAlign w:val="center"/>
          </w:tcPr>
          <w:p w14:paraId="11DF4F61">
            <w:pPr>
              <w:ind w:left="-674" w:leftChars="-321"/>
              <w:jc w:val="center"/>
              <w:rPr>
                <w:rFonts w:hint="eastAsia" w:ascii="宋体" w:hAnsi="宋体" w:cs="宋体"/>
                <w:color w:val="auto"/>
                <w:sz w:val="24"/>
              </w:rPr>
            </w:pPr>
          </w:p>
        </w:tc>
        <w:tc>
          <w:tcPr>
            <w:tcW w:w="4282" w:type="dxa"/>
            <w:vAlign w:val="center"/>
          </w:tcPr>
          <w:p w14:paraId="363B57EC">
            <w:pPr>
              <w:jc w:val="center"/>
              <w:rPr>
                <w:rFonts w:hint="eastAsia" w:ascii="宋体" w:hAnsi="宋体" w:cs="宋体"/>
                <w:color w:val="auto"/>
                <w:sz w:val="24"/>
              </w:rPr>
            </w:pPr>
          </w:p>
        </w:tc>
        <w:tc>
          <w:tcPr>
            <w:tcW w:w="2393" w:type="dxa"/>
            <w:vAlign w:val="center"/>
          </w:tcPr>
          <w:p w14:paraId="2C4DDFC0">
            <w:pPr>
              <w:jc w:val="center"/>
              <w:rPr>
                <w:rFonts w:hint="eastAsia" w:ascii="宋体" w:hAnsi="宋体" w:cs="宋体"/>
                <w:color w:val="auto"/>
                <w:sz w:val="24"/>
              </w:rPr>
            </w:pPr>
          </w:p>
        </w:tc>
      </w:tr>
    </w:tbl>
    <w:p w14:paraId="1C77776F">
      <w:pPr>
        <w:spacing w:line="360" w:lineRule="auto"/>
        <w:jc w:val="center"/>
        <w:rPr>
          <w:rFonts w:hint="eastAsia" w:ascii="宋体" w:hAnsi="宋体"/>
          <w:color w:val="auto"/>
          <w:sz w:val="24"/>
        </w:rPr>
      </w:pPr>
    </w:p>
    <w:p w14:paraId="028F5ECB">
      <w:pPr>
        <w:spacing w:line="360" w:lineRule="auto"/>
        <w:ind w:firstLine="240" w:firstLineChars="100"/>
        <w:rPr>
          <w:rFonts w:hint="eastAsia" w:ascii="宋体" w:hAnsi="宋体"/>
          <w:color w:val="auto"/>
          <w:sz w:val="24"/>
        </w:rPr>
      </w:pPr>
    </w:p>
    <w:p w14:paraId="67F84ABA">
      <w:pPr>
        <w:pStyle w:val="26"/>
        <w:spacing w:before="75" w:beforeAutospacing="0" w:after="75" w:afterAutospacing="0" w:line="420" w:lineRule="atLeast"/>
        <w:rPr>
          <w:color w:val="auto"/>
        </w:rPr>
      </w:pPr>
      <w:r>
        <w:rPr>
          <w:rFonts w:hint="eastAsia"/>
          <w:color w:val="auto"/>
        </w:rPr>
        <w:t>供应商代表：</w:t>
      </w:r>
      <w:r>
        <w:rPr>
          <w:rFonts w:hint="eastAsia"/>
          <w:color w:val="auto"/>
          <w:u w:val="single"/>
        </w:rPr>
        <w:t>             （签字） </w:t>
      </w:r>
    </w:p>
    <w:p w14:paraId="18BC70D6">
      <w:pPr>
        <w:pStyle w:val="26"/>
        <w:spacing w:before="75" w:beforeAutospacing="0" w:after="75" w:afterAutospacing="0"/>
        <w:ind w:right="480"/>
        <w:rPr>
          <w:color w:val="auto"/>
          <w:u w:val="single"/>
        </w:rPr>
      </w:pPr>
      <w:r>
        <w:rPr>
          <w:rFonts w:hint="eastAsia"/>
          <w:color w:val="auto"/>
        </w:rPr>
        <w:t>日  期： </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742F162F">
      <w:pPr>
        <w:pStyle w:val="26"/>
        <w:spacing w:before="75" w:beforeAutospacing="0" w:after="75" w:afterAutospacing="0"/>
        <w:rPr>
          <w:color w:val="auto"/>
        </w:rPr>
      </w:pPr>
      <w:r>
        <w:rPr>
          <w:color w:val="auto"/>
        </w:rPr>
        <w:br w:type="page"/>
      </w:r>
      <w:r>
        <w:rPr>
          <w:rFonts w:hint="eastAsia"/>
          <w:color w:val="auto"/>
        </w:rPr>
        <w:t>附件</w:t>
      </w:r>
      <w:r>
        <w:rPr>
          <w:rFonts w:hint="eastAsia"/>
          <w:color w:val="auto"/>
          <w:lang w:val="en-US" w:eastAsia="zh-CN"/>
        </w:rPr>
        <w:t>8</w:t>
      </w:r>
      <w:r>
        <w:rPr>
          <w:rFonts w:hint="eastAsia"/>
          <w:color w:val="auto"/>
        </w:rPr>
        <w:t>       </w:t>
      </w:r>
      <w:r>
        <w:rPr>
          <w:rStyle w:val="34"/>
          <w:rFonts w:hint="eastAsia"/>
          <w:color w:val="auto"/>
        </w:rPr>
        <w:t>要求作为响应文件组成部分的其他内容（若有）</w:t>
      </w:r>
    </w:p>
    <w:p w14:paraId="3B188C72">
      <w:pPr>
        <w:pStyle w:val="26"/>
        <w:spacing w:before="75" w:beforeAutospacing="0" w:after="75" w:afterAutospacing="0"/>
        <w:rPr>
          <w:color w:val="auto"/>
        </w:rPr>
      </w:pPr>
      <w:r>
        <w:rPr>
          <w:rFonts w:hint="eastAsia"/>
          <w:color w:val="auto"/>
        </w:rPr>
        <w:t> </w:t>
      </w:r>
    </w:p>
    <w:p w14:paraId="6CC91F92">
      <w:pPr>
        <w:pStyle w:val="26"/>
        <w:spacing w:before="75" w:beforeAutospacing="0" w:after="75" w:afterAutospacing="0" w:line="435" w:lineRule="atLeast"/>
        <w:rPr>
          <w:color w:val="auto"/>
        </w:rPr>
      </w:pPr>
      <w:r>
        <w:rPr>
          <w:rFonts w:hint="eastAsia"/>
          <w:color w:val="auto"/>
        </w:rPr>
        <w:t>说明：</w:t>
      </w:r>
    </w:p>
    <w:p w14:paraId="220172E2">
      <w:pPr>
        <w:pStyle w:val="26"/>
        <w:spacing w:before="75" w:beforeAutospacing="0" w:after="75" w:afterAutospacing="0" w:line="435" w:lineRule="atLeast"/>
        <w:ind w:firstLine="480"/>
        <w:rPr>
          <w:color w:val="auto"/>
        </w:rPr>
      </w:pPr>
      <w:r>
        <w:rPr>
          <w:rFonts w:hint="eastAsia"/>
          <w:color w:val="auto"/>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7C802931">
      <w:pPr>
        <w:pStyle w:val="26"/>
        <w:spacing w:before="75" w:beforeAutospacing="0" w:after="75" w:afterAutospacing="0" w:line="435" w:lineRule="atLeast"/>
        <w:ind w:firstLine="480"/>
        <w:rPr>
          <w:color w:val="auto"/>
        </w:rPr>
      </w:pPr>
      <w:r>
        <w:rPr>
          <w:rFonts w:hint="eastAsia"/>
          <w:color w:val="auto"/>
        </w:rPr>
        <w:t>2、供应商根据自身实际情况编写有关资料包括如供应商单位简介、竞争性磋商文件要求提供或供应商自已认为体现自身优势，需要补充说明的其它资料，格式自拟。</w:t>
      </w:r>
    </w:p>
    <w:p w14:paraId="2A4702DD">
      <w:pPr>
        <w:pStyle w:val="26"/>
        <w:spacing w:before="75" w:beforeAutospacing="0" w:after="75" w:afterAutospacing="0" w:line="435" w:lineRule="atLeast"/>
        <w:jc w:val="both"/>
        <w:rPr>
          <w:rFonts w:hint="eastAsia"/>
          <w:color w:val="auto"/>
        </w:rPr>
      </w:pPr>
    </w:p>
    <w:p w14:paraId="2724FD9A">
      <w:pPr>
        <w:pStyle w:val="26"/>
        <w:spacing w:before="75" w:beforeAutospacing="0" w:after="75" w:afterAutospacing="0" w:line="435" w:lineRule="atLeast"/>
        <w:jc w:val="both"/>
        <w:rPr>
          <w:rFonts w:hint="eastAsia"/>
          <w:color w:val="auto"/>
        </w:rPr>
      </w:pPr>
    </w:p>
    <w:p w14:paraId="323FD509">
      <w:pPr>
        <w:pStyle w:val="26"/>
        <w:spacing w:before="75" w:beforeAutospacing="0" w:after="75" w:afterAutospacing="0" w:line="435" w:lineRule="atLeast"/>
        <w:jc w:val="both"/>
        <w:rPr>
          <w:rFonts w:hint="eastAsia"/>
          <w:color w:val="auto"/>
        </w:rPr>
      </w:pPr>
    </w:p>
    <w:p w14:paraId="4E07E0F6">
      <w:pPr>
        <w:pStyle w:val="26"/>
        <w:spacing w:before="75" w:beforeAutospacing="0" w:after="75" w:afterAutospacing="0" w:line="435" w:lineRule="atLeast"/>
        <w:jc w:val="both"/>
        <w:rPr>
          <w:color w:val="auto"/>
        </w:rPr>
      </w:pPr>
      <w:r>
        <w:rPr>
          <w:rFonts w:hint="eastAsia"/>
          <w:color w:val="auto"/>
        </w:rPr>
        <w:t>供应商代表：</w:t>
      </w:r>
      <w:r>
        <w:rPr>
          <w:rFonts w:hint="eastAsia"/>
          <w:color w:val="auto"/>
          <w:u w:val="single"/>
        </w:rPr>
        <w:t>             （签字） </w:t>
      </w:r>
    </w:p>
    <w:p w14:paraId="5CCF6E95">
      <w:pPr>
        <w:pStyle w:val="26"/>
        <w:spacing w:before="75" w:beforeAutospacing="0" w:after="75" w:afterAutospacing="0" w:line="435" w:lineRule="atLeast"/>
        <w:jc w:val="both"/>
        <w:rPr>
          <w:color w:val="auto"/>
        </w:rPr>
      </w:pPr>
      <w:r>
        <w:rPr>
          <w:rFonts w:hint="eastAsia"/>
          <w:color w:val="auto"/>
        </w:rPr>
        <w:t>供应商名称：</w:t>
      </w:r>
      <w:r>
        <w:rPr>
          <w:rFonts w:hint="eastAsia"/>
          <w:color w:val="auto"/>
          <w:u w:val="single"/>
        </w:rPr>
        <w:t>         （全称并加盖公章）</w:t>
      </w:r>
    </w:p>
    <w:p w14:paraId="4A17B021">
      <w:pPr>
        <w:pStyle w:val="26"/>
        <w:spacing w:before="75" w:beforeAutospacing="0" w:after="75" w:afterAutospacing="0" w:line="435" w:lineRule="atLeast"/>
        <w:rPr>
          <w:color w:val="auto"/>
        </w:rPr>
      </w:pPr>
      <w:r>
        <w:rPr>
          <w:rFonts w:hint="eastAsia"/>
          <w:color w:val="auto"/>
        </w:rPr>
        <w:t>日  期： </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30170EE8">
      <w:pPr>
        <w:pStyle w:val="26"/>
        <w:spacing w:before="75" w:beforeAutospacing="0" w:after="75" w:afterAutospacing="0"/>
        <w:rPr>
          <w:color w:val="auto"/>
        </w:rPr>
      </w:pPr>
      <w:r>
        <w:rPr>
          <w:color w:val="auto"/>
        </w:rPr>
        <w:t> </w:t>
      </w:r>
    </w:p>
    <w:p w14:paraId="0E97A5D8">
      <w:pPr>
        <w:pStyle w:val="26"/>
        <w:spacing w:before="75" w:beforeAutospacing="0" w:after="75" w:afterAutospacing="0"/>
        <w:rPr>
          <w:color w:val="auto"/>
        </w:rPr>
      </w:pPr>
      <w:r>
        <w:rPr>
          <w:rFonts w:hint="eastAsia"/>
          <w:color w:val="auto"/>
        </w:rPr>
        <w:t> </w:t>
      </w:r>
    </w:p>
    <w:p w14:paraId="1459F9CE">
      <w:pPr>
        <w:pStyle w:val="26"/>
        <w:spacing w:before="75" w:beforeAutospacing="0" w:after="75" w:afterAutospacing="0"/>
        <w:rPr>
          <w:color w:val="auto"/>
        </w:rPr>
      </w:pPr>
      <w:r>
        <w:rPr>
          <w:color w:val="auto"/>
        </w:rPr>
        <w:t> </w:t>
      </w:r>
    </w:p>
    <w:p w14:paraId="298EA579">
      <w:pPr>
        <w:pStyle w:val="26"/>
        <w:spacing w:before="75" w:beforeAutospacing="0" w:after="75" w:afterAutospacing="0"/>
        <w:rPr>
          <w:color w:val="auto"/>
        </w:rPr>
      </w:pPr>
      <w:r>
        <w:rPr>
          <w:color w:val="auto"/>
        </w:rPr>
        <w:t> </w:t>
      </w:r>
    </w:p>
    <w:p w14:paraId="496C713B">
      <w:pPr>
        <w:pStyle w:val="39"/>
        <w:rPr>
          <w:color w:val="auto"/>
          <w:sz w:val="24"/>
        </w:rPr>
      </w:pPr>
    </w:p>
    <w:p w14:paraId="5CC7EABF">
      <w:pPr>
        <w:pStyle w:val="39"/>
        <w:rPr>
          <w:color w:val="auto"/>
          <w:sz w:val="24"/>
        </w:rPr>
      </w:pPr>
    </w:p>
    <w:p w14:paraId="656DDE15">
      <w:pPr>
        <w:pStyle w:val="39"/>
        <w:rPr>
          <w:color w:val="auto"/>
          <w:sz w:val="24"/>
        </w:rPr>
      </w:pPr>
    </w:p>
    <w:p w14:paraId="3A4D9EB1">
      <w:pPr>
        <w:pStyle w:val="39"/>
        <w:rPr>
          <w:color w:val="auto"/>
          <w:sz w:val="24"/>
        </w:rPr>
      </w:pPr>
    </w:p>
    <w:p w14:paraId="13B04397">
      <w:pPr>
        <w:pStyle w:val="39"/>
        <w:rPr>
          <w:color w:val="auto"/>
          <w:sz w:val="24"/>
        </w:rPr>
      </w:pPr>
    </w:p>
    <w:p w14:paraId="72C16B0A">
      <w:pPr>
        <w:pStyle w:val="39"/>
        <w:rPr>
          <w:color w:val="auto"/>
          <w:sz w:val="24"/>
        </w:rPr>
      </w:pPr>
    </w:p>
    <w:p w14:paraId="4BB03065">
      <w:pPr>
        <w:pStyle w:val="39"/>
        <w:rPr>
          <w:color w:val="auto"/>
          <w:sz w:val="24"/>
        </w:rPr>
      </w:pPr>
    </w:p>
    <w:p w14:paraId="5082BC96">
      <w:pPr>
        <w:pStyle w:val="39"/>
        <w:rPr>
          <w:color w:val="auto"/>
          <w:sz w:val="24"/>
        </w:rPr>
      </w:pPr>
    </w:p>
    <w:p w14:paraId="45EE2471">
      <w:pPr>
        <w:pStyle w:val="39"/>
        <w:rPr>
          <w:color w:val="auto"/>
          <w:sz w:val="24"/>
        </w:rPr>
      </w:pPr>
    </w:p>
    <w:p w14:paraId="75FF5244">
      <w:pPr>
        <w:pStyle w:val="39"/>
        <w:rPr>
          <w:color w:val="auto"/>
          <w:sz w:val="24"/>
        </w:rPr>
      </w:pPr>
    </w:p>
    <w:p w14:paraId="7218D274">
      <w:pPr>
        <w:pStyle w:val="39"/>
        <w:rPr>
          <w:color w:val="auto"/>
          <w:sz w:val="24"/>
        </w:rPr>
      </w:pPr>
    </w:p>
    <w:p w14:paraId="2840B5ED">
      <w:pPr>
        <w:pStyle w:val="39"/>
        <w:rPr>
          <w:color w:val="auto"/>
          <w:sz w:val="24"/>
        </w:rPr>
      </w:pPr>
    </w:p>
    <w:p w14:paraId="3F73358B">
      <w:pPr>
        <w:pStyle w:val="39"/>
        <w:rPr>
          <w:color w:val="auto"/>
          <w:sz w:val="24"/>
        </w:rPr>
      </w:pPr>
    </w:p>
    <w:p w14:paraId="4569EBF3">
      <w:pPr>
        <w:pStyle w:val="39"/>
        <w:rPr>
          <w:color w:val="auto"/>
          <w:sz w:val="24"/>
        </w:rPr>
      </w:pPr>
    </w:p>
    <w:p w14:paraId="0BE70A86">
      <w:pPr>
        <w:pStyle w:val="39"/>
        <w:rPr>
          <w:color w:val="auto"/>
          <w:sz w:val="24"/>
        </w:rPr>
      </w:pPr>
    </w:p>
    <w:p w14:paraId="0E8B8A0F">
      <w:pPr>
        <w:pStyle w:val="39"/>
        <w:rPr>
          <w:color w:val="auto"/>
          <w:sz w:val="24"/>
        </w:rPr>
      </w:pPr>
    </w:p>
    <w:p w14:paraId="7B959963">
      <w:pPr>
        <w:pStyle w:val="39"/>
        <w:rPr>
          <w:color w:val="auto"/>
          <w:sz w:val="24"/>
        </w:rPr>
      </w:pPr>
    </w:p>
    <w:p w14:paraId="3DA91B6E">
      <w:pPr>
        <w:pStyle w:val="39"/>
        <w:rPr>
          <w:color w:val="auto"/>
          <w:sz w:val="24"/>
        </w:rPr>
      </w:pPr>
    </w:p>
    <w:p w14:paraId="44A91D20">
      <w:pPr>
        <w:pStyle w:val="39"/>
        <w:rPr>
          <w:color w:val="auto"/>
          <w:sz w:val="24"/>
        </w:rPr>
      </w:pPr>
    </w:p>
    <w:p w14:paraId="3ED1D252">
      <w:pPr>
        <w:pStyle w:val="39"/>
        <w:rPr>
          <w:color w:val="auto"/>
          <w:sz w:val="24"/>
        </w:rPr>
      </w:pPr>
    </w:p>
    <w:p w14:paraId="23F86374">
      <w:pPr>
        <w:jc w:val="center"/>
        <w:outlineLvl w:val="1"/>
        <w:rPr>
          <w:rFonts w:hint="default" w:ascii="宋体" w:hAnsi="宋体" w:eastAsia="宋体"/>
          <w:szCs w:val="21"/>
          <w:u w:val="single"/>
          <w:lang w:val="en-US" w:eastAsia="zh-CN"/>
        </w:rPr>
      </w:pPr>
      <w:bookmarkStart w:id="174" w:name="_Toc19963"/>
      <w:r>
        <w:rPr>
          <w:rFonts w:hint="eastAsia" w:ascii="宋体" w:hAnsi="宋体" w:eastAsia="宋体" w:cs="Times New Roman"/>
          <w:b/>
          <w:sz w:val="36"/>
          <w:szCs w:val="36"/>
          <w:lang w:val="en-US" w:eastAsia="zh-CN"/>
        </w:rPr>
        <w:t>承诺函</w:t>
      </w:r>
      <w:bookmarkEnd w:id="174"/>
    </w:p>
    <w:p w14:paraId="022A670A">
      <w:pPr>
        <w:jc w:val="center"/>
        <w:outlineLvl w:val="1"/>
        <w:rPr>
          <w:rFonts w:hint="eastAsia" w:ascii="宋体" w:hAnsi="宋体"/>
          <w:szCs w:val="21"/>
          <w:u w:val="single"/>
        </w:rPr>
      </w:pPr>
    </w:p>
    <w:p w14:paraId="231002F0">
      <w:pPr>
        <w:spacing w:line="440" w:lineRule="exact"/>
        <w:ind w:firstLine="48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1、本公司参加贵公司组织的</w:t>
      </w:r>
      <w:r>
        <w:rPr>
          <w:rFonts w:hint="eastAsia" w:asciiTheme="minorEastAsia" w:hAnsiTheme="minorEastAsia" w:eastAsiaTheme="minorEastAsia" w:cstheme="minorEastAsia"/>
          <w:sz w:val="24"/>
          <w:szCs w:val="24"/>
          <w:u w:val="single"/>
        </w:rPr>
        <w:t>202</w:t>
      </w:r>
      <w:r>
        <w:rPr>
          <w:rFonts w:hint="eastAsia" w:asciiTheme="minorEastAsia" w:hAnsi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至202</w:t>
      </w:r>
      <w:r>
        <w:rPr>
          <w:rFonts w:hint="eastAsia" w:asciiTheme="minorEastAsia" w:hAnsiTheme="minorEastAsia" w:cstheme="minorEastAsia"/>
          <w:sz w:val="24"/>
          <w:szCs w:val="24"/>
          <w:u w:val="single"/>
          <w:lang w:val="en-US" w:eastAsia="zh-CN"/>
        </w:rPr>
        <w:t>7</w:t>
      </w:r>
      <w:r>
        <w:rPr>
          <w:rFonts w:hint="eastAsia" w:asciiTheme="minorEastAsia" w:hAnsiTheme="minorEastAsia" w:eastAsiaTheme="minorEastAsia" w:cstheme="minorEastAsia"/>
          <w:sz w:val="24"/>
          <w:szCs w:val="24"/>
          <w:u w:val="single"/>
        </w:rPr>
        <w:t>年度小规模工程施工单位采购</w:t>
      </w:r>
      <w:r>
        <w:rPr>
          <w:rFonts w:hint="eastAsia" w:asciiTheme="minorEastAsia" w:hAnsiTheme="minorEastAsia" w:eastAsiaTheme="minorEastAsia" w:cstheme="minorEastAsia"/>
          <w:sz w:val="24"/>
          <w:szCs w:val="24"/>
        </w:rPr>
        <w:t>项目磋商，</w:t>
      </w:r>
      <w:r>
        <w:rPr>
          <w:rFonts w:hint="eastAsia" w:asciiTheme="minorEastAsia" w:hAnsiTheme="minorEastAsia" w:eastAsiaTheme="minorEastAsia" w:cstheme="minorEastAsia"/>
          <w:sz w:val="24"/>
          <w:szCs w:val="24"/>
          <w:lang w:val="en-US" w:eastAsia="zh-CN"/>
        </w:rPr>
        <w:t>做如下承诺</w:t>
      </w:r>
      <w:r>
        <w:rPr>
          <w:rFonts w:hint="eastAsia" w:asciiTheme="minorEastAsia" w:hAnsiTheme="minorEastAsia" w:eastAsiaTheme="minorEastAsia" w:cstheme="minorEastAsia"/>
          <w:sz w:val="24"/>
          <w:szCs w:val="24"/>
          <w:lang w:eastAsia="zh-CN"/>
        </w:rPr>
        <w:t>：</w:t>
      </w:r>
    </w:p>
    <w:p w14:paraId="349DFF26">
      <w:pPr>
        <w:spacing w:line="440" w:lineRule="exact"/>
        <w:ind w:firstLine="48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val="en-US" w:eastAsia="zh-CN"/>
        </w:rPr>
        <w:t>（1）本公司</w:t>
      </w:r>
      <w:r>
        <w:rPr>
          <w:rFonts w:hint="eastAsia" w:asciiTheme="minorEastAsia" w:hAnsiTheme="minorEastAsia" w:eastAsiaTheme="minorEastAsia" w:cstheme="minorEastAsia"/>
          <w:sz w:val="24"/>
          <w:szCs w:val="24"/>
        </w:rPr>
        <w:t>承诺</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我司不是</w:t>
      </w:r>
      <w:r>
        <w:rPr>
          <w:rFonts w:hint="eastAsia" w:asciiTheme="minorEastAsia" w:hAnsiTheme="minorEastAsia" w:eastAsiaTheme="minorEastAsia" w:cstheme="minorEastAsia"/>
          <w:color w:val="auto"/>
          <w:sz w:val="24"/>
          <w:szCs w:val="24"/>
          <w:highlight w:val="none"/>
          <w:shd w:val="clear" w:color="auto" w:fill="FFFFFF"/>
        </w:rPr>
        <w:t>采购单位</w:t>
      </w:r>
      <w:r>
        <w:rPr>
          <w:rFonts w:hint="eastAsia" w:asciiTheme="minorEastAsia" w:hAnsiTheme="minorEastAsia" w:eastAsiaTheme="minorEastAsia" w:cstheme="minorEastAsia"/>
          <w:color w:val="auto"/>
          <w:sz w:val="24"/>
          <w:szCs w:val="24"/>
          <w:highlight w:val="none"/>
          <w:shd w:val="clear" w:color="auto" w:fill="FFFFFF"/>
          <w:lang w:val="en-US" w:eastAsia="zh-CN"/>
        </w:rPr>
        <w:t>202</w:t>
      </w:r>
      <w:r>
        <w:rPr>
          <w:rFonts w:hint="eastAsia" w:asciiTheme="minorEastAsia" w:hAnsiTheme="minorEastAsia" w:cstheme="minorEastAsia"/>
          <w:color w:val="auto"/>
          <w:sz w:val="24"/>
          <w:szCs w:val="24"/>
          <w:highlight w:val="none"/>
          <w:shd w:val="clear" w:color="auto" w:fill="FFFFFF"/>
          <w:lang w:val="en-US" w:eastAsia="zh-CN"/>
        </w:rPr>
        <w:t>6</w:t>
      </w:r>
      <w:r>
        <w:rPr>
          <w:rFonts w:hint="eastAsia" w:asciiTheme="minorEastAsia" w:hAnsiTheme="minorEastAsia" w:eastAsiaTheme="minorEastAsia" w:cstheme="minorEastAsia"/>
          <w:color w:val="auto"/>
          <w:sz w:val="24"/>
          <w:szCs w:val="24"/>
          <w:highlight w:val="none"/>
          <w:shd w:val="clear" w:color="auto" w:fill="FFFFFF"/>
          <w:lang w:val="en-US" w:eastAsia="zh-CN"/>
        </w:rPr>
        <w:t>至202</w:t>
      </w:r>
      <w:r>
        <w:rPr>
          <w:rFonts w:hint="eastAsia" w:asciiTheme="minorEastAsia" w:hAnsiTheme="minorEastAsia" w:cstheme="minorEastAsia"/>
          <w:color w:val="auto"/>
          <w:sz w:val="24"/>
          <w:szCs w:val="24"/>
          <w:highlight w:val="none"/>
          <w:shd w:val="clear" w:color="auto" w:fill="FFFFFF"/>
          <w:lang w:val="en-US" w:eastAsia="zh-CN"/>
        </w:rPr>
        <w:t>7</w:t>
      </w:r>
      <w:r>
        <w:rPr>
          <w:rFonts w:hint="eastAsia" w:asciiTheme="minorEastAsia" w:hAnsiTheme="minorEastAsia" w:eastAsiaTheme="minorEastAsia" w:cstheme="minorEastAsia"/>
          <w:color w:val="auto"/>
          <w:sz w:val="24"/>
          <w:szCs w:val="24"/>
          <w:highlight w:val="none"/>
          <w:shd w:val="clear" w:color="auto" w:fill="FFFFFF"/>
          <w:lang w:val="en-US" w:eastAsia="zh-CN"/>
        </w:rPr>
        <w:t>年度</w:t>
      </w:r>
      <w:r>
        <w:rPr>
          <w:rFonts w:hint="eastAsia" w:asciiTheme="minorEastAsia" w:hAnsiTheme="minorEastAsia" w:eastAsiaTheme="minorEastAsia" w:cstheme="minorEastAsia"/>
          <w:color w:val="auto"/>
          <w:sz w:val="24"/>
          <w:szCs w:val="24"/>
          <w:highlight w:val="none"/>
          <w:shd w:val="clear" w:color="auto" w:fill="FFFFFF"/>
        </w:rPr>
        <w:t>“工程项目设计单位、工程项目预算编制单位、工程项目预算审核单位、工程项目结算审核单位、工程项目监理单位”其中一个项目的成交供应商，且与上述五个项目的成交供应商无相关联关系</w:t>
      </w:r>
      <w:r>
        <w:rPr>
          <w:rFonts w:hint="eastAsia" w:asciiTheme="minorEastAsia" w:hAnsiTheme="minorEastAsia" w:eastAsiaTheme="minorEastAsia" w:cstheme="minorEastAsia"/>
          <w:sz w:val="24"/>
          <w:szCs w:val="24"/>
          <w:highlight w:val="none"/>
        </w:rPr>
        <w:t>。</w:t>
      </w:r>
    </w:p>
    <w:p w14:paraId="1DD88028">
      <w:pPr>
        <w:pStyle w:val="48"/>
        <w:keepNext w:val="0"/>
        <w:keepLines w:val="0"/>
        <w:pageBreakBefore w:val="0"/>
        <w:widowControl/>
        <w:kinsoku/>
        <w:wordWrap/>
        <w:overflowPunct/>
        <w:topLinePunct w:val="0"/>
        <w:autoSpaceDE/>
        <w:autoSpaceDN/>
        <w:bidi w:val="0"/>
        <w:adjustRightInd/>
        <w:snapToGrid/>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（2）本公司承诺：若</w:t>
      </w:r>
      <w:r>
        <w:rPr>
          <w:rFonts w:hint="eastAsia" w:asciiTheme="minorEastAsia" w:hAnsiTheme="minorEastAsia" w:eastAsiaTheme="minorEastAsia" w:cstheme="minorEastAsia"/>
          <w:color w:val="auto"/>
          <w:sz w:val="24"/>
          <w:szCs w:val="24"/>
          <w:highlight w:val="none"/>
        </w:rPr>
        <w:t>成交，所提供的主要材料设备品牌符合或优于工程量清单中编制说明</w:t>
      </w:r>
      <w:r>
        <w:rPr>
          <w:rFonts w:hint="eastAsia" w:asciiTheme="minorEastAsia" w:hAnsiTheme="minorEastAsia" w:eastAsiaTheme="minorEastAsia" w:cstheme="minorEastAsia"/>
          <w:color w:val="auto"/>
          <w:sz w:val="24"/>
          <w:szCs w:val="24"/>
          <w:highlight w:val="none"/>
          <w:lang w:eastAsia="zh-CN"/>
        </w:rPr>
        <w:t>。</w:t>
      </w:r>
    </w:p>
    <w:p w14:paraId="5DF900A0">
      <w:pPr>
        <w:pStyle w:val="48"/>
        <w:keepNext w:val="0"/>
        <w:keepLines w:val="0"/>
        <w:pageBreakBefore w:val="0"/>
        <w:widowControl/>
        <w:kinsoku/>
        <w:wordWrap/>
        <w:overflowPunct/>
        <w:topLinePunct w:val="0"/>
        <w:autoSpaceDE/>
        <w:autoSpaceDN/>
        <w:bidi w:val="0"/>
        <w:adjustRightInd/>
        <w:snapToGrid/>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（3）本公司承诺：若</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color w:val="auto"/>
          <w:sz w:val="24"/>
          <w:szCs w:val="24"/>
          <w:highlight w:val="none"/>
          <w:lang w:val="en-US" w:eastAsia="zh-CN"/>
        </w:rPr>
        <w:t>在</w:t>
      </w:r>
      <w:r>
        <w:rPr>
          <w:rFonts w:hint="eastAsia" w:asciiTheme="minorEastAsia" w:hAnsiTheme="minorEastAsia" w:eastAsiaTheme="minorEastAsia" w:cstheme="minorEastAsia"/>
          <w:color w:val="auto"/>
          <w:sz w:val="24"/>
          <w:szCs w:val="24"/>
          <w:highlight w:val="none"/>
        </w:rPr>
        <w:t>收到进度款后优先用于发放农民工工资，并严格落实《保障农民工工资支付条例》规定。</w:t>
      </w:r>
    </w:p>
    <w:p w14:paraId="4BC332A0">
      <w:pPr>
        <w:pStyle w:val="48"/>
        <w:keepNext w:val="0"/>
        <w:keepLines w:val="0"/>
        <w:pageBreakBefore w:val="0"/>
        <w:widowControl/>
        <w:kinsoku/>
        <w:wordWrap/>
        <w:overflowPunct/>
        <w:topLinePunct w:val="0"/>
        <w:autoSpaceDE/>
        <w:autoSpaceDN/>
        <w:bidi w:val="0"/>
        <w:adjustRightInd/>
        <w:snapToGrid/>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kern w:val="2"/>
          <w:sz w:val="24"/>
          <w:szCs w:val="24"/>
          <w:highlight w:val="none"/>
          <w:lang w:val="en-US" w:eastAsia="zh-CN" w:bidi="ar-SA"/>
        </w:rPr>
        <w:t>（4）本</w:t>
      </w:r>
      <w:r>
        <w:rPr>
          <w:rFonts w:hint="eastAsia" w:asciiTheme="minorEastAsia" w:hAnsiTheme="minorEastAsia" w:eastAsiaTheme="minorEastAsia" w:cstheme="minorEastAsia"/>
          <w:color w:val="auto"/>
          <w:sz w:val="24"/>
          <w:szCs w:val="24"/>
          <w:highlight w:val="none"/>
          <w:lang w:val="en-US" w:eastAsia="zh-CN"/>
        </w:rPr>
        <w:t>公司承诺：若成交，</w:t>
      </w:r>
      <w:r>
        <w:rPr>
          <w:rFonts w:hint="eastAsia" w:asciiTheme="minorEastAsia" w:hAnsiTheme="minorEastAsia" w:eastAsiaTheme="minorEastAsia" w:cstheme="minorEastAsia"/>
          <w:color w:val="auto"/>
          <w:sz w:val="24"/>
          <w:szCs w:val="24"/>
          <w:highlight w:val="none"/>
        </w:rPr>
        <w:t>在接到</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委托任务时，响应时间为24小时；在项目施工时，委派专门的专业技术人员（以</w:t>
      </w:r>
      <w:r>
        <w:rPr>
          <w:rFonts w:hint="eastAsia" w:asciiTheme="minorEastAsia" w:hAnsiTheme="minorEastAsia" w:eastAsiaTheme="minorEastAsia" w:cstheme="minorEastAsia"/>
          <w:color w:val="auto"/>
          <w:sz w:val="24"/>
          <w:szCs w:val="24"/>
          <w:highlight w:val="none"/>
          <w:lang w:val="en-US" w:eastAsia="zh-CN"/>
        </w:rPr>
        <w:t>我司</w:t>
      </w:r>
      <w:r>
        <w:rPr>
          <w:rFonts w:hint="eastAsia" w:asciiTheme="minorEastAsia" w:hAnsiTheme="minorEastAsia" w:eastAsiaTheme="minorEastAsia" w:cstheme="minorEastAsia"/>
          <w:color w:val="auto"/>
          <w:sz w:val="24"/>
          <w:szCs w:val="24"/>
          <w:highlight w:val="none"/>
        </w:rPr>
        <w:t>所出具的加盖单位公章的委托书为准）在</w:t>
      </w:r>
      <w:r>
        <w:rPr>
          <w:rFonts w:hint="eastAsia" w:asciiTheme="minorEastAsia" w:hAnsiTheme="minorEastAsia" w:eastAsiaTheme="minorEastAsia" w:cstheme="minorEastAsia"/>
          <w:color w:val="auto"/>
          <w:sz w:val="24"/>
          <w:szCs w:val="24"/>
          <w:highlight w:val="none"/>
          <w:shd w:val="clear" w:color="auto" w:fill="FFFFFF"/>
          <w:lang w:val="en-US" w:eastAsia="zh-CN"/>
        </w:rPr>
        <w:t>采购人</w:t>
      </w:r>
      <w:r>
        <w:rPr>
          <w:rFonts w:hint="eastAsia" w:asciiTheme="minorEastAsia" w:hAnsiTheme="minorEastAsia" w:eastAsiaTheme="minorEastAsia" w:cstheme="minorEastAsia"/>
          <w:color w:val="auto"/>
          <w:sz w:val="24"/>
          <w:szCs w:val="24"/>
          <w:highlight w:val="none"/>
        </w:rPr>
        <w:t>驻点，驻点时间为</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正常上班时间，配合</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业务归口管理部门到项目现场踏勘、量取数据，根据</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要求以及项目的具体情况，提出合理的施工初步方案供</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参考。若有履职不到位的情况，予以每次扣款</w:t>
      </w:r>
      <w:r>
        <w:rPr>
          <w:rFonts w:hint="eastAsia" w:asciiTheme="minorEastAsia" w:hAnsiTheme="minorEastAsia" w:eastAsiaTheme="minorEastAsia" w:cstheme="minorEastAsia"/>
          <w:color w:val="auto"/>
          <w:sz w:val="24"/>
          <w:szCs w:val="24"/>
          <w:highlight w:val="none"/>
          <w:lang w:val="en-US" w:eastAsia="zh-CN"/>
        </w:rPr>
        <w:t>1000</w:t>
      </w:r>
      <w:r>
        <w:rPr>
          <w:rFonts w:hint="eastAsia" w:asciiTheme="minorEastAsia" w:hAnsiTheme="minorEastAsia" w:eastAsiaTheme="minorEastAsia" w:cstheme="minorEastAsia"/>
          <w:color w:val="auto"/>
          <w:sz w:val="24"/>
          <w:szCs w:val="24"/>
          <w:highlight w:val="none"/>
        </w:rPr>
        <w:t>元处理，若有三次（含）以上履职不到位，</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有权单方面解除合同，并</w:t>
      </w:r>
      <w:r>
        <w:rPr>
          <w:rFonts w:hint="eastAsia" w:asciiTheme="minorEastAsia" w:hAnsiTheme="minorEastAsia" w:eastAsiaTheme="minorEastAsia" w:cstheme="minorEastAsia"/>
          <w:color w:val="auto"/>
          <w:sz w:val="24"/>
          <w:szCs w:val="24"/>
          <w:highlight w:val="none"/>
          <w:lang w:val="en-US" w:eastAsia="zh-CN"/>
        </w:rPr>
        <w:t>不予退还</w:t>
      </w:r>
      <w:r>
        <w:rPr>
          <w:rFonts w:hint="eastAsia" w:asciiTheme="minorEastAsia" w:hAnsiTheme="minorEastAsia" w:eastAsiaTheme="minorEastAsia" w:cstheme="minorEastAsia"/>
          <w:color w:val="auto"/>
          <w:sz w:val="24"/>
          <w:szCs w:val="24"/>
          <w:highlight w:val="none"/>
        </w:rPr>
        <w:t>履约保证金。</w:t>
      </w:r>
    </w:p>
    <w:p w14:paraId="43A11503">
      <w:pPr>
        <w:pStyle w:val="14"/>
        <w:rPr>
          <w:rFonts w:hint="eastAsia" w:asciiTheme="minorEastAsia" w:hAnsiTheme="minorEastAsia" w:eastAsiaTheme="minorEastAsia" w:cstheme="minorEastAsia"/>
          <w:sz w:val="24"/>
          <w:szCs w:val="24"/>
          <w:highlight w:val="none"/>
        </w:rPr>
      </w:pPr>
    </w:p>
    <w:p w14:paraId="60FD1372">
      <w:pPr>
        <w:spacing w:line="380" w:lineRule="exac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  供应商代表签名：</w:t>
      </w:r>
      <w:r>
        <w:rPr>
          <w:rFonts w:hint="eastAsia" w:asciiTheme="minorEastAsia" w:hAnsiTheme="minorEastAsia" w:eastAsiaTheme="minorEastAsia" w:cstheme="minorEastAsia"/>
          <w:sz w:val="24"/>
          <w:szCs w:val="24"/>
          <w:u w:val="single"/>
        </w:rPr>
        <w:t xml:space="preserve">                            </w:t>
      </w:r>
    </w:p>
    <w:p w14:paraId="08183AFE">
      <w:pPr>
        <w:spacing w:line="380" w:lineRule="exact"/>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供应商（全称并加盖公章）：</w:t>
      </w:r>
      <w:r>
        <w:rPr>
          <w:rFonts w:hint="eastAsia" w:asciiTheme="minorEastAsia" w:hAnsiTheme="minorEastAsia" w:eastAsiaTheme="minorEastAsia" w:cstheme="minorEastAsia"/>
          <w:sz w:val="24"/>
          <w:szCs w:val="24"/>
          <w:u w:val="single"/>
        </w:rPr>
        <w:t xml:space="preserve">                   </w:t>
      </w:r>
    </w:p>
    <w:p w14:paraId="690BB6BD">
      <w:pPr>
        <w:pStyle w:val="39"/>
        <w:rPr>
          <w:color w:val="auto"/>
        </w:rPr>
      </w:pPr>
      <w:r>
        <w:rPr>
          <w:rFonts w:hint="eastAsia" w:asciiTheme="minorEastAsia" w:hAnsiTheme="minorEastAsia" w:eastAsiaTheme="minorEastAsia" w:cstheme="minorEastAsia"/>
          <w:sz w:val="24"/>
          <w:szCs w:val="24"/>
        </w:rPr>
        <w:t xml:space="preserve">  日      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月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日</w:t>
      </w:r>
      <w:r>
        <w:rPr>
          <w:color w:val="auto"/>
          <w:sz w:val="24"/>
        </w:rPr>
        <w:br w:type="page"/>
      </w:r>
    </w:p>
    <w:p w14:paraId="13D49933">
      <w:pPr>
        <w:spacing w:line="360" w:lineRule="auto"/>
        <w:jc w:val="center"/>
        <w:rPr>
          <w:rFonts w:hint="eastAsia" w:ascii="宋体" w:hAnsi="宋体"/>
          <w:b/>
          <w:color w:val="auto"/>
          <w:sz w:val="24"/>
        </w:rPr>
      </w:pPr>
      <w:r>
        <w:rPr>
          <w:rFonts w:hint="eastAsia" w:ascii="宋体" w:hAnsi="宋体"/>
          <w:b/>
          <w:color w:val="auto"/>
          <w:sz w:val="24"/>
        </w:rPr>
        <w:t>质疑函范本</w:t>
      </w:r>
    </w:p>
    <w:p w14:paraId="350F951E">
      <w:pPr>
        <w:adjustRightInd w:val="0"/>
        <w:snapToGrid w:val="0"/>
        <w:spacing w:before="312" w:beforeLines="100" w:line="312" w:lineRule="auto"/>
        <w:rPr>
          <w:rFonts w:hint="eastAsia" w:ascii="宋体" w:hAnsi="宋体" w:cs="仿宋"/>
          <w:bCs/>
          <w:color w:val="auto"/>
          <w:sz w:val="24"/>
        </w:rPr>
      </w:pPr>
      <w:r>
        <w:rPr>
          <w:rFonts w:hint="eastAsia" w:ascii="宋体" w:hAnsi="宋体" w:cs="仿宋"/>
          <w:bCs/>
          <w:color w:val="auto"/>
          <w:sz w:val="24"/>
        </w:rPr>
        <w:t>一、质疑供应商基本信息</w:t>
      </w:r>
    </w:p>
    <w:p w14:paraId="75EFABC5">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质疑供应商：</w:t>
      </w:r>
      <w:r>
        <w:rPr>
          <w:rFonts w:hint="eastAsia" w:ascii="宋体" w:hAnsi="宋体" w:cs="仿宋"/>
          <w:color w:val="auto"/>
          <w:sz w:val="24"/>
          <w:u w:val="dotted"/>
        </w:rPr>
        <w:t xml:space="preserve">                                        </w:t>
      </w:r>
    </w:p>
    <w:p w14:paraId="5DDA6C55">
      <w:pPr>
        <w:adjustRightInd w:val="0"/>
        <w:snapToGrid w:val="0"/>
        <w:spacing w:line="312" w:lineRule="auto"/>
        <w:rPr>
          <w:rFonts w:hint="eastAsia" w:ascii="宋体" w:hAnsi="宋体" w:cs="仿宋"/>
          <w:color w:val="auto"/>
          <w:sz w:val="24"/>
        </w:rPr>
      </w:pPr>
      <w:r>
        <w:rPr>
          <w:rFonts w:hint="eastAsia" w:ascii="宋体" w:hAnsi="宋体" w:cs="仿宋"/>
          <w:color w:val="auto"/>
          <w:sz w:val="24"/>
        </w:rPr>
        <w:t>地址：</w:t>
      </w:r>
      <w:r>
        <w:rPr>
          <w:rFonts w:hint="eastAsia" w:ascii="宋体" w:hAnsi="宋体" w:cs="仿宋"/>
          <w:color w:val="auto"/>
          <w:sz w:val="24"/>
          <w:u w:val="dotted"/>
        </w:rPr>
        <w:t xml:space="preserve">                          </w:t>
      </w:r>
      <w:r>
        <w:rPr>
          <w:rFonts w:hint="eastAsia" w:ascii="宋体" w:hAnsi="宋体" w:cs="仿宋"/>
          <w:color w:val="auto"/>
          <w:sz w:val="24"/>
        </w:rPr>
        <w:t>邮编：</w:t>
      </w:r>
      <w:r>
        <w:rPr>
          <w:rFonts w:hint="eastAsia" w:ascii="宋体" w:hAnsi="宋体" w:cs="仿宋"/>
          <w:color w:val="auto"/>
          <w:sz w:val="24"/>
          <w:u w:val="dotted"/>
        </w:rPr>
        <w:t xml:space="preserve">                     </w:t>
      </w:r>
    </w:p>
    <w:p w14:paraId="139AE203">
      <w:pPr>
        <w:adjustRightInd w:val="0"/>
        <w:snapToGrid w:val="0"/>
        <w:spacing w:line="312" w:lineRule="auto"/>
        <w:rPr>
          <w:rFonts w:hint="eastAsia" w:ascii="宋体" w:hAnsi="宋体" w:cs="仿宋"/>
          <w:color w:val="auto"/>
          <w:sz w:val="24"/>
        </w:rPr>
      </w:pPr>
      <w:r>
        <w:rPr>
          <w:rFonts w:hint="eastAsia" w:ascii="宋体" w:hAnsi="宋体" w:cs="仿宋"/>
          <w:color w:val="auto"/>
          <w:sz w:val="24"/>
        </w:rPr>
        <w:t>联系人：</w:t>
      </w:r>
      <w:r>
        <w:rPr>
          <w:rFonts w:hint="eastAsia" w:ascii="宋体" w:hAnsi="宋体" w:cs="仿宋"/>
          <w:color w:val="auto"/>
          <w:sz w:val="24"/>
          <w:u w:val="dotted"/>
        </w:rPr>
        <w:t xml:space="preserve">                      </w:t>
      </w:r>
      <w:r>
        <w:rPr>
          <w:rFonts w:hint="eastAsia" w:ascii="宋体" w:hAnsi="宋体" w:cs="仿宋"/>
          <w:color w:val="auto"/>
          <w:sz w:val="24"/>
        </w:rPr>
        <w:t>联系电话：</w:t>
      </w:r>
      <w:r>
        <w:rPr>
          <w:rFonts w:hint="eastAsia" w:ascii="宋体" w:hAnsi="宋体" w:cs="仿宋"/>
          <w:color w:val="auto"/>
          <w:sz w:val="24"/>
          <w:u w:val="dotted"/>
        </w:rPr>
        <w:t xml:space="preserve">                   </w:t>
      </w:r>
    </w:p>
    <w:p w14:paraId="3484C24A">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授权代表：</w:t>
      </w:r>
      <w:r>
        <w:rPr>
          <w:rFonts w:hint="eastAsia" w:ascii="宋体" w:hAnsi="宋体" w:cs="仿宋"/>
          <w:color w:val="auto"/>
          <w:sz w:val="24"/>
          <w:u w:val="dotted"/>
        </w:rPr>
        <w:t xml:space="preserve">                                          </w:t>
      </w:r>
    </w:p>
    <w:p w14:paraId="08D4EE4C">
      <w:pPr>
        <w:adjustRightInd w:val="0"/>
        <w:snapToGrid w:val="0"/>
        <w:spacing w:line="312" w:lineRule="auto"/>
        <w:rPr>
          <w:rFonts w:hint="eastAsia" w:ascii="宋体" w:hAnsi="宋体" w:cs="仿宋"/>
          <w:color w:val="auto"/>
          <w:sz w:val="24"/>
        </w:rPr>
      </w:pPr>
      <w:r>
        <w:rPr>
          <w:rFonts w:hint="eastAsia" w:ascii="宋体" w:hAnsi="宋体" w:cs="仿宋"/>
          <w:color w:val="auto"/>
          <w:sz w:val="24"/>
        </w:rPr>
        <w:t>联系电话：</w:t>
      </w:r>
      <w:r>
        <w:rPr>
          <w:rFonts w:hint="eastAsia" w:ascii="宋体" w:hAnsi="宋体" w:cs="仿宋"/>
          <w:color w:val="auto"/>
          <w:sz w:val="24"/>
          <w:u w:val="dotted"/>
        </w:rPr>
        <w:t xml:space="preserve">                                           </w:t>
      </w:r>
      <w:r>
        <w:rPr>
          <w:rFonts w:ascii="宋体" w:hAnsi="宋体" w:cs="仿宋"/>
          <w:color w:val="auto"/>
          <w:sz w:val="24"/>
        </w:rPr>
        <w:t xml:space="preserve"> </w:t>
      </w:r>
    </w:p>
    <w:p w14:paraId="4F1C813C">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地址：</w:t>
      </w:r>
      <w:r>
        <w:rPr>
          <w:rFonts w:ascii="宋体" w:hAnsi="宋体" w:cs="仿宋"/>
          <w:color w:val="auto"/>
          <w:sz w:val="24"/>
        </w:rPr>
        <w:t xml:space="preserve"> </w:t>
      </w:r>
      <w:r>
        <w:rPr>
          <w:rFonts w:hint="eastAsia" w:ascii="宋体" w:hAnsi="宋体" w:cs="仿宋"/>
          <w:color w:val="auto"/>
          <w:sz w:val="24"/>
          <w:u w:val="dotted"/>
        </w:rPr>
        <w:t xml:space="preserve">                        </w:t>
      </w:r>
      <w:r>
        <w:rPr>
          <w:rFonts w:hint="eastAsia" w:ascii="宋体" w:hAnsi="宋体" w:cs="仿宋"/>
          <w:color w:val="auto"/>
          <w:sz w:val="24"/>
        </w:rPr>
        <w:t>邮编：</w:t>
      </w:r>
      <w:r>
        <w:rPr>
          <w:rFonts w:hint="eastAsia" w:ascii="宋体" w:hAnsi="宋体" w:cs="仿宋"/>
          <w:color w:val="auto"/>
          <w:sz w:val="24"/>
          <w:u w:val="dotted"/>
        </w:rPr>
        <w:t xml:space="preserve">   </w:t>
      </w:r>
    </w:p>
    <w:p w14:paraId="7A3F6097">
      <w:pPr>
        <w:adjustRightInd w:val="0"/>
        <w:snapToGrid w:val="0"/>
        <w:spacing w:line="312" w:lineRule="auto"/>
        <w:rPr>
          <w:rFonts w:hint="eastAsia" w:ascii="宋体" w:hAnsi="宋体" w:cs="仿宋"/>
          <w:color w:val="auto"/>
          <w:sz w:val="24"/>
        </w:rPr>
      </w:pPr>
      <w:r>
        <w:rPr>
          <w:rFonts w:hint="eastAsia" w:ascii="宋体" w:hAnsi="宋体" w:cs="仿宋"/>
          <w:color w:val="auto"/>
          <w:sz w:val="24"/>
        </w:rPr>
        <w:t>电子邮箱：</w:t>
      </w:r>
      <w:r>
        <w:rPr>
          <w:rFonts w:hint="eastAsia" w:ascii="宋体" w:hAnsi="宋体" w:cs="仿宋"/>
          <w:color w:val="auto"/>
          <w:sz w:val="24"/>
          <w:u w:val="dotted"/>
        </w:rPr>
        <w:t xml:space="preserve">                  </w:t>
      </w:r>
    </w:p>
    <w:p w14:paraId="035117AF">
      <w:pPr>
        <w:adjustRightInd w:val="0"/>
        <w:snapToGrid w:val="0"/>
        <w:spacing w:line="312" w:lineRule="auto"/>
        <w:rPr>
          <w:rFonts w:hint="eastAsia" w:ascii="宋体" w:hAnsi="宋体" w:cs="仿宋"/>
          <w:bCs/>
          <w:color w:val="auto"/>
          <w:sz w:val="24"/>
        </w:rPr>
      </w:pPr>
      <w:r>
        <w:rPr>
          <w:rFonts w:hint="eastAsia" w:ascii="宋体" w:hAnsi="宋体" w:cs="仿宋"/>
          <w:bCs/>
          <w:color w:val="auto"/>
          <w:sz w:val="24"/>
        </w:rPr>
        <w:t>二、质疑项目基本情况</w:t>
      </w:r>
    </w:p>
    <w:p w14:paraId="111B3C5A">
      <w:pPr>
        <w:adjustRightInd w:val="0"/>
        <w:snapToGrid w:val="0"/>
        <w:spacing w:line="312" w:lineRule="auto"/>
        <w:rPr>
          <w:rFonts w:hint="eastAsia" w:ascii="宋体" w:hAnsi="宋体" w:cs="仿宋"/>
          <w:color w:val="auto"/>
          <w:sz w:val="24"/>
        </w:rPr>
      </w:pPr>
      <w:r>
        <w:rPr>
          <w:rFonts w:hint="eastAsia" w:ascii="宋体" w:hAnsi="宋体" w:cs="仿宋"/>
          <w:color w:val="auto"/>
          <w:sz w:val="24"/>
        </w:rPr>
        <w:t>质疑项目的名称：</w:t>
      </w:r>
      <w:r>
        <w:rPr>
          <w:rFonts w:hint="eastAsia" w:ascii="宋体" w:hAnsi="宋体" w:cs="仿宋"/>
          <w:color w:val="auto"/>
          <w:sz w:val="24"/>
          <w:u w:val="dotted"/>
        </w:rPr>
        <w:t xml:space="preserve">                                      </w:t>
      </w:r>
    </w:p>
    <w:p w14:paraId="0F6DCC8A">
      <w:pPr>
        <w:adjustRightInd w:val="0"/>
        <w:snapToGrid w:val="0"/>
        <w:spacing w:line="312" w:lineRule="auto"/>
        <w:rPr>
          <w:rFonts w:hint="eastAsia" w:ascii="宋体" w:hAnsi="宋体" w:cs="仿宋"/>
          <w:color w:val="auto"/>
          <w:sz w:val="24"/>
        </w:rPr>
      </w:pPr>
      <w:r>
        <w:rPr>
          <w:rFonts w:hint="eastAsia" w:ascii="宋体" w:hAnsi="宋体" w:cs="仿宋"/>
          <w:color w:val="auto"/>
          <w:sz w:val="24"/>
        </w:rPr>
        <w:t>质疑项目的编号：</w:t>
      </w:r>
      <w:r>
        <w:rPr>
          <w:rFonts w:hint="eastAsia" w:ascii="宋体" w:hAnsi="宋体" w:cs="仿宋"/>
          <w:color w:val="auto"/>
          <w:sz w:val="24"/>
          <w:u w:val="dotted"/>
        </w:rPr>
        <w:t xml:space="preserve">               </w:t>
      </w:r>
      <w:r>
        <w:rPr>
          <w:rFonts w:hint="eastAsia" w:ascii="宋体" w:hAnsi="宋体" w:cs="仿宋"/>
          <w:color w:val="auto"/>
          <w:sz w:val="24"/>
        </w:rPr>
        <w:t>包号：</w:t>
      </w:r>
      <w:r>
        <w:rPr>
          <w:rFonts w:hint="eastAsia" w:ascii="宋体" w:hAnsi="宋体" w:cs="仿宋"/>
          <w:color w:val="auto"/>
          <w:sz w:val="24"/>
          <w:u w:val="dotted"/>
        </w:rPr>
        <w:t xml:space="preserve">                 </w:t>
      </w:r>
    </w:p>
    <w:p w14:paraId="318A4A4E">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采购人名称：</w:t>
      </w:r>
      <w:r>
        <w:rPr>
          <w:rFonts w:hint="eastAsia" w:ascii="宋体" w:hAnsi="宋体" w:cs="仿宋"/>
          <w:color w:val="auto"/>
          <w:sz w:val="24"/>
          <w:u w:val="dotted"/>
        </w:rPr>
        <w:t xml:space="preserve">                                         </w:t>
      </w:r>
    </w:p>
    <w:p w14:paraId="77A28704">
      <w:pPr>
        <w:adjustRightInd w:val="0"/>
        <w:snapToGrid w:val="0"/>
        <w:spacing w:line="312" w:lineRule="auto"/>
        <w:rPr>
          <w:rFonts w:hint="eastAsia" w:ascii="宋体" w:hAnsi="宋体" w:cs="仿宋"/>
          <w:color w:val="auto"/>
          <w:sz w:val="24"/>
        </w:rPr>
      </w:pPr>
      <w:r>
        <w:rPr>
          <w:rFonts w:hint="eastAsia" w:ascii="宋体" w:hAnsi="宋体" w:cs="仿宋"/>
          <w:color w:val="auto"/>
          <w:sz w:val="24"/>
        </w:rPr>
        <w:t>采购文件获取日期：</w:t>
      </w:r>
      <w:r>
        <w:rPr>
          <w:rFonts w:hint="eastAsia" w:ascii="宋体" w:hAnsi="宋体" w:cs="仿宋"/>
          <w:color w:val="auto"/>
          <w:sz w:val="24"/>
          <w:u w:val="dotted"/>
        </w:rPr>
        <w:t xml:space="preserve">                                        </w:t>
      </w:r>
    </w:p>
    <w:p w14:paraId="3AD42EEF">
      <w:pPr>
        <w:adjustRightInd w:val="0"/>
        <w:snapToGrid w:val="0"/>
        <w:spacing w:line="312" w:lineRule="auto"/>
        <w:rPr>
          <w:rFonts w:hint="eastAsia" w:ascii="宋体" w:hAnsi="宋体" w:cs="仿宋"/>
          <w:bCs/>
          <w:color w:val="auto"/>
          <w:sz w:val="24"/>
        </w:rPr>
      </w:pPr>
      <w:r>
        <w:rPr>
          <w:rFonts w:hint="eastAsia" w:ascii="宋体" w:hAnsi="宋体" w:cs="仿宋"/>
          <w:bCs/>
          <w:color w:val="auto"/>
          <w:sz w:val="24"/>
        </w:rPr>
        <w:t>三、质疑事项具体内容</w:t>
      </w:r>
    </w:p>
    <w:p w14:paraId="613B850A">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质疑事项1：</w:t>
      </w:r>
      <w:r>
        <w:rPr>
          <w:rFonts w:hint="eastAsia" w:ascii="宋体" w:hAnsi="宋体" w:cs="仿宋"/>
          <w:color w:val="auto"/>
          <w:sz w:val="24"/>
          <w:u w:val="dotted"/>
        </w:rPr>
        <w:t xml:space="preserve">                                         </w:t>
      </w:r>
    </w:p>
    <w:p w14:paraId="4FDC324F">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事实依据：</w:t>
      </w:r>
      <w:r>
        <w:rPr>
          <w:rFonts w:hint="eastAsia" w:ascii="宋体" w:hAnsi="宋体" w:cs="仿宋"/>
          <w:color w:val="auto"/>
          <w:sz w:val="24"/>
          <w:u w:val="dotted"/>
        </w:rPr>
        <w:t xml:space="preserve">                                          </w:t>
      </w:r>
    </w:p>
    <w:p w14:paraId="3ECCB052">
      <w:pPr>
        <w:adjustRightInd w:val="0"/>
        <w:snapToGrid w:val="0"/>
        <w:spacing w:line="312" w:lineRule="auto"/>
        <w:rPr>
          <w:rFonts w:hint="eastAsia" w:ascii="宋体" w:hAnsi="宋体" w:cs="仿宋"/>
          <w:color w:val="auto"/>
          <w:sz w:val="24"/>
        </w:rPr>
      </w:pPr>
      <w:r>
        <w:rPr>
          <w:rFonts w:hint="eastAsia" w:ascii="宋体" w:hAnsi="宋体" w:cs="仿宋"/>
          <w:color w:val="auto"/>
          <w:sz w:val="24"/>
          <w:u w:val="dotted"/>
        </w:rPr>
        <w:t xml:space="preserve">                                                       </w:t>
      </w:r>
    </w:p>
    <w:p w14:paraId="2304A48F">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法律依据：</w:t>
      </w:r>
      <w:r>
        <w:rPr>
          <w:rFonts w:hint="eastAsia" w:ascii="宋体" w:hAnsi="宋体" w:cs="仿宋"/>
          <w:color w:val="auto"/>
          <w:sz w:val="24"/>
          <w:u w:val="dotted"/>
        </w:rPr>
        <w:t xml:space="preserve">                                          </w:t>
      </w:r>
    </w:p>
    <w:p w14:paraId="25B7F8F0">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u w:val="dotted"/>
        </w:rPr>
        <w:t xml:space="preserve">                                                     </w:t>
      </w:r>
    </w:p>
    <w:p w14:paraId="5007E48A">
      <w:pPr>
        <w:adjustRightInd w:val="0"/>
        <w:snapToGrid w:val="0"/>
        <w:spacing w:line="312" w:lineRule="auto"/>
        <w:rPr>
          <w:rFonts w:hint="eastAsia" w:ascii="宋体" w:hAnsi="宋体" w:cs="仿宋"/>
          <w:color w:val="auto"/>
          <w:sz w:val="24"/>
          <w:u w:val="dotted"/>
        </w:rPr>
      </w:pPr>
      <w:r>
        <w:rPr>
          <w:rFonts w:hint="eastAsia" w:ascii="宋体" w:hAnsi="宋体" w:cs="仿宋"/>
          <w:color w:val="auto"/>
          <w:sz w:val="24"/>
        </w:rPr>
        <w:t>质疑事项2</w:t>
      </w:r>
    </w:p>
    <w:p w14:paraId="2ACDF844">
      <w:pPr>
        <w:adjustRightInd w:val="0"/>
        <w:snapToGrid w:val="0"/>
        <w:spacing w:line="312" w:lineRule="auto"/>
        <w:rPr>
          <w:rFonts w:hint="eastAsia" w:ascii="宋体" w:hAnsi="宋体" w:cs="仿宋"/>
          <w:color w:val="auto"/>
          <w:sz w:val="24"/>
        </w:rPr>
      </w:pPr>
      <w:r>
        <w:rPr>
          <w:rFonts w:hint="eastAsia" w:ascii="宋体" w:hAnsi="宋体" w:cs="仿宋"/>
          <w:color w:val="auto"/>
          <w:sz w:val="24"/>
        </w:rPr>
        <w:t>……</w:t>
      </w:r>
    </w:p>
    <w:p w14:paraId="3EAB6C54">
      <w:pPr>
        <w:adjustRightInd w:val="0"/>
        <w:snapToGrid w:val="0"/>
        <w:spacing w:line="312" w:lineRule="auto"/>
        <w:rPr>
          <w:rFonts w:hint="eastAsia" w:ascii="宋体" w:hAnsi="宋体" w:cs="仿宋"/>
          <w:bCs/>
          <w:color w:val="auto"/>
          <w:sz w:val="24"/>
        </w:rPr>
      </w:pPr>
      <w:r>
        <w:rPr>
          <w:rFonts w:hint="eastAsia" w:ascii="宋体" w:hAnsi="宋体" w:cs="仿宋"/>
          <w:bCs/>
          <w:color w:val="auto"/>
          <w:sz w:val="24"/>
        </w:rPr>
        <w:t>四、与质疑事项相关的质疑请求</w:t>
      </w:r>
    </w:p>
    <w:p w14:paraId="2D02A84E">
      <w:pPr>
        <w:adjustRightInd w:val="0"/>
        <w:snapToGrid w:val="0"/>
        <w:spacing w:line="312" w:lineRule="auto"/>
        <w:rPr>
          <w:rFonts w:hint="eastAsia" w:ascii="宋体" w:hAnsi="宋体" w:cs="仿宋"/>
          <w:color w:val="auto"/>
          <w:sz w:val="24"/>
        </w:rPr>
      </w:pPr>
      <w:r>
        <w:rPr>
          <w:rFonts w:hint="eastAsia" w:ascii="宋体" w:hAnsi="宋体" w:cs="仿宋"/>
          <w:color w:val="auto"/>
          <w:sz w:val="24"/>
        </w:rPr>
        <w:t xml:space="preserve">请求：                                               </w:t>
      </w:r>
    </w:p>
    <w:p w14:paraId="25E36D74">
      <w:pPr>
        <w:adjustRightInd w:val="0"/>
        <w:snapToGrid w:val="0"/>
        <w:spacing w:line="312" w:lineRule="auto"/>
        <w:rPr>
          <w:rFonts w:hint="eastAsia" w:ascii="宋体" w:hAnsi="宋体" w:cs="仿宋"/>
          <w:color w:val="auto"/>
          <w:sz w:val="24"/>
        </w:rPr>
      </w:pPr>
      <w:r>
        <w:rPr>
          <w:rFonts w:hint="eastAsia" w:ascii="宋体" w:hAnsi="宋体" w:cs="仿宋"/>
          <w:color w:val="auto"/>
          <w:sz w:val="24"/>
        </w:rPr>
        <w:t xml:space="preserve">签字(签章)：                   公章：                      </w:t>
      </w:r>
    </w:p>
    <w:p w14:paraId="08E06AC2">
      <w:pPr>
        <w:adjustRightInd w:val="0"/>
        <w:snapToGrid w:val="0"/>
        <w:spacing w:line="312" w:lineRule="auto"/>
        <w:rPr>
          <w:rFonts w:hint="eastAsia" w:ascii="宋体" w:hAnsi="宋体" w:cs="仿宋"/>
          <w:color w:val="auto"/>
          <w:sz w:val="24"/>
        </w:rPr>
      </w:pPr>
      <w:r>
        <w:rPr>
          <w:rFonts w:hint="eastAsia" w:ascii="宋体" w:hAnsi="宋体" w:cs="仿宋"/>
          <w:color w:val="auto"/>
          <w:sz w:val="24"/>
        </w:rPr>
        <w:t>日期：</w:t>
      </w:r>
    </w:p>
    <w:p w14:paraId="34A7E86B">
      <w:pPr>
        <w:spacing w:line="360" w:lineRule="auto"/>
        <w:ind w:firstLine="360" w:firstLineChars="150"/>
        <w:rPr>
          <w:rFonts w:hint="eastAsia" w:ascii="宋体" w:hAnsi="宋体"/>
          <w:color w:val="auto"/>
          <w:sz w:val="24"/>
        </w:rPr>
      </w:pPr>
    </w:p>
    <w:p w14:paraId="731A0C2B">
      <w:pPr>
        <w:pStyle w:val="26"/>
        <w:spacing w:before="75" w:beforeAutospacing="0" w:after="75" w:afterAutospacing="0"/>
        <w:rPr>
          <w:color w:val="auto"/>
        </w:rPr>
      </w:pPr>
      <w:r>
        <w:rPr>
          <w:color w:val="auto"/>
        </w:rPr>
        <w:t> </w:t>
      </w:r>
    </w:p>
    <w:p w14:paraId="115A9CB7">
      <w:pPr>
        <w:pStyle w:val="26"/>
        <w:widowControl/>
        <w:spacing w:before="75" w:beforeAutospacing="0" w:after="75" w:afterAutospacing="0"/>
        <w:rPr>
          <w:rFonts w:hint="eastAsia" w:asciiTheme="minorEastAsia" w:hAnsiTheme="minorEastAsia" w:cstheme="minorEastAsia"/>
          <w:color w:val="auto"/>
        </w:rPr>
      </w:pPr>
    </w:p>
    <w:p w14:paraId="12BE6265">
      <w:pPr>
        <w:pStyle w:val="26"/>
        <w:widowControl/>
        <w:spacing w:before="75" w:beforeAutospacing="0" w:after="75" w:afterAutospacing="0"/>
        <w:rPr>
          <w:rFonts w:hint="eastAsia" w:asciiTheme="minorEastAsia" w:hAnsiTheme="minorEastAsia" w:cstheme="minorEastAsia"/>
          <w:color w:val="auto"/>
        </w:rPr>
      </w:pPr>
    </w:p>
    <w:p w14:paraId="679C014A">
      <w:pPr>
        <w:pStyle w:val="26"/>
        <w:widowControl/>
        <w:spacing w:before="75" w:beforeAutospacing="0" w:after="75" w:afterAutospacing="0"/>
        <w:rPr>
          <w:rFonts w:hint="eastAsia" w:asciiTheme="minorEastAsia" w:hAnsiTheme="minorEastAsia" w:cstheme="minorEastAsia"/>
          <w:color w:val="auto"/>
        </w:rPr>
      </w:pPr>
    </w:p>
    <w:p w14:paraId="49CE8009">
      <w:pPr>
        <w:pStyle w:val="26"/>
        <w:widowControl/>
        <w:spacing w:before="75" w:beforeAutospacing="0" w:after="75" w:afterAutospacing="0"/>
        <w:rPr>
          <w:rFonts w:hint="eastAsia" w:asciiTheme="minorEastAsia" w:hAnsiTheme="minorEastAsia" w:cstheme="minorEastAsia"/>
          <w:color w:val="auto"/>
        </w:rPr>
      </w:pPr>
    </w:p>
    <w:p w14:paraId="3A156FCE">
      <w:pPr>
        <w:pStyle w:val="26"/>
        <w:widowControl/>
        <w:spacing w:before="75" w:beforeAutospacing="0" w:after="75" w:afterAutospacing="0"/>
        <w:rPr>
          <w:rFonts w:hint="eastAsia" w:asciiTheme="minorEastAsia" w:hAnsiTheme="minorEastAsia" w:cstheme="minorEastAsia"/>
          <w:color w:val="auto"/>
        </w:rPr>
      </w:pPr>
    </w:p>
    <w:p w14:paraId="6C16CCBD">
      <w:pPr>
        <w:pStyle w:val="26"/>
        <w:widowControl/>
        <w:spacing w:before="75" w:beforeAutospacing="0" w:after="75" w:afterAutospacing="0"/>
        <w:rPr>
          <w:rFonts w:hint="eastAsia" w:asciiTheme="minorEastAsia" w:hAnsiTheme="minorEastAsia" w:cstheme="minorEastAsia"/>
          <w:color w:val="auto"/>
        </w:rPr>
      </w:pPr>
    </w:p>
    <w:p w14:paraId="7C6E87A1">
      <w:pPr>
        <w:pStyle w:val="26"/>
        <w:widowControl/>
        <w:spacing w:before="75" w:beforeAutospacing="0" w:after="75" w:afterAutospacing="0"/>
        <w:rPr>
          <w:rFonts w:hint="eastAsia" w:asciiTheme="minorEastAsia" w:hAnsiTheme="minorEastAsia" w:cstheme="minorEastAsia"/>
          <w:color w:val="auto"/>
        </w:rPr>
      </w:pPr>
    </w:p>
    <w:sectPr>
      <w:footerReference r:id="rId5" w:type="default"/>
      <w:pgSz w:w="11906" w:h="16838"/>
      <w:pgMar w:top="1134" w:right="1134" w:bottom="1134" w:left="1134" w:header="851"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8844630"/>
      <w:docPartObj>
        <w:docPartGallery w:val="autotext"/>
      </w:docPartObj>
    </w:sdtPr>
    <w:sdtContent>
      <w:p w14:paraId="55E55A80">
        <w:pPr>
          <w:pStyle w:val="2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53D26BA">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8FD33">
    <w:pPr>
      <w:pStyle w:val="22"/>
      <w:tabs>
        <w:tab w:val="center" w:pos="4819"/>
        <w:tab w:val="clear" w:pos="4153"/>
      </w:tabs>
      <w:rPr>
        <w:rFonts w:hint="eastAsia" w:eastAsiaTheme="minorEastAsia"/>
        <w:lang w:val="en-US" w:eastAsia="zh-CN"/>
      </w:rPr>
    </w:pPr>
    <w:r>
      <w:rPr>
        <w:rFonts w:hint="eastAsia"/>
      </w:rPr>
      <w:tab/>
    </w:r>
    <w:r>
      <w:rPr>
        <w:rFonts w:hint="eastAsia"/>
        <w:lang w:val="en-US" w:eastAsia="zh-CN"/>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5980628"/>
      <w:docPartObj>
        <w:docPartGallery w:val="autotext"/>
      </w:docPartObj>
    </w:sdtPr>
    <w:sdtContent>
      <w:p w14:paraId="4293FEBE">
        <w:pPr>
          <w:pStyle w:val="2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295D929">
    <w:pPr>
      <w:pStyle w:val="22"/>
      <w:tabs>
        <w:tab w:val="clear" w:pos="4153"/>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B5FC"/>
    <w:multiLevelType w:val="singleLevel"/>
    <w:tmpl w:val="80F8B5FC"/>
    <w:lvl w:ilvl="0" w:tentative="0">
      <w:start w:val="1"/>
      <w:numFmt w:val="decimal"/>
      <w:suff w:val="nothing"/>
      <w:lvlText w:val="（%1）"/>
      <w:lvlJc w:val="left"/>
    </w:lvl>
  </w:abstractNum>
  <w:abstractNum w:abstractNumId="1">
    <w:nsid w:val="2F854E9C"/>
    <w:multiLevelType w:val="singleLevel"/>
    <w:tmpl w:val="2F854E9C"/>
    <w:lvl w:ilvl="0" w:tentative="0">
      <w:start w:val="1"/>
      <w:numFmt w:val="decimal"/>
      <w:lvlText w:val="%1."/>
      <w:lvlJc w:val="left"/>
      <w:pPr>
        <w:tabs>
          <w:tab w:val="left" w:pos="425"/>
        </w:tabs>
        <w:ind w:left="425" w:hanging="425"/>
      </w:pPr>
      <w:rPr>
        <w:rFonts w:hint="eastAsia"/>
      </w:rPr>
    </w:lvl>
  </w:abstractNum>
  <w:abstractNum w:abstractNumId="2">
    <w:nsid w:val="5F6A1EEE"/>
    <w:multiLevelType w:val="singleLevel"/>
    <w:tmpl w:val="5F6A1EEE"/>
    <w:lvl w:ilvl="0" w:tentative="0">
      <w:start w:val="1"/>
      <w:numFmt w:val="decimal"/>
      <w:pStyle w:val="5"/>
      <w:lvlText w:val="%1."/>
      <w:lvlJc w:val="left"/>
      <w:pPr>
        <w:tabs>
          <w:tab w:val="left" w:pos="425"/>
        </w:tabs>
        <w:ind w:left="425" w:hanging="425"/>
      </w:pPr>
      <w:rPr>
        <w:rFonts w:hint="eastAsia"/>
      </w:rPr>
    </w:lvl>
  </w:abstractNum>
  <w:abstractNum w:abstractNumId="3">
    <w:nsid w:val="678C3098"/>
    <w:multiLevelType w:val="multilevel"/>
    <w:tmpl w:val="678C3098"/>
    <w:lvl w:ilvl="0" w:tentative="0">
      <w:start w:val="1"/>
      <w:numFmt w:val="decimal"/>
      <w:pStyle w:val="3"/>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pStyle w:val="7"/>
      <w:lvlText w:val="%5)"/>
      <w:lvlJc w:val="left"/>
      <w:pPr>
        <w:tabs>
          <w:tab w:val="left" w:pos="2580"/>
        </w:tabs>
        <w:ind w:left="2580" w:hanging="420"/>
      </w:pPr>
    </w:lvl>
    <w:lvl w:ilvl="5" w:tentative="0">
      <w:start w:val="1"/>
      <w:numFmt w:val="lowerRoman"/>
      <w:pStyle w:val="8"/>
      <w:lvlText w:val="%6."/>
      <w:lvlJc w:val="right"/>
      <w:pPr>
        <w:tabs>
          <w:tab w:val="left" w:pos="3000"/>
        </w:tabs>
        <w:ind w:left="3000" w:hanging="420"/>
      </w:pPr>
    </w:lvl>
    <w:lvl w:ilvl="6" w:tentative="0">
      <w:start w:val="1"/>
      <w:numFmt w:val="decimal"/>
      <w:pStyle w:val="9"/>
      <w:lvlText w:val="%7."/>
      <w:lvlJc w:val="left"/>
      <w:pPr>
        <w:tabs>
          <w:tab w:val="left" w:pos="3420"/>
        </w:tabs>
        <w:ind w:left="3420" w:hanging="420"/>
      </w:pPr>
    </w:lvl>
    <w:lvl w:ilvl="7" w:tentative="0">
      <w:start w:val="1"/>
      <w:numFmt w:val="lowerLetter"/>
      <w:pStyle w:val="10"/>
      <w:lvlText w:val="%8)"/>
      <w:lvlJc w:val="left"/>
      <w:pPr>
        <w:tabs>
          <w:tab w:val="left" w:pos="3840"/>
        </w:tabs>
        <w:ind w:left="3840" w:hanging="420"/>
      </w:pPr>
    </w:lvl>
    <w:lvl w:ilvl="8" w:tentative="0">
      <w:start w:val="1"/>
      <w:numFmt w:val="lowerRoman"/>
      <w:pStyle w:val="11"/>
      <w:lvlText w:val="%9."/>
      <w:lvlJc w:val="right"/>
      <w:pPr>
        <w:tabs>
          <w:tab w:val="left" w:pos="4260"/>
        </w:tabs>
        <w:ind w:left="426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xYzg0MDBlZWUyMzBhMTllNDUzYmNmMWUyNzQ2MmMifQ=="/>
  </w:docVars>
  <w:rsids>
    <w:rsidRoot w:val="006D77B3"/>
    <w:rsid w:val="0002379F"/>
    <w:rsid w:val="00041DC5"/>
    <w:rsid w:val="00082672"/>
    <w:rsid w:val="000F53B8"/>
    <w:rsid w:val="00164C26"/>
    <w:rsid w:val="001B4A0C"/>
    <w:rsid w:val="003060E6"/>
    <w:rsid w:val="00373450"/>
    <w:rsid w:val="00451697"/>
    <w:rsid w:val="004E5627"/>
    <w:rsid w:val="0053276A"/>
    <w:rsid w:val="00556BDA"/>
    <w:rsid w:val="005A12BB"/>
    <w:rsid w:val="005A3A65"/>
    <w:rsid w:val="005F7949"/>
    <w:rsid w:val="00616DB0"/>
    <w:rsid w:val="00623C1B"/>
    <w:rsid w:val="00633743"/>
    <w:rsid w:val="006A0AD5"/>
    <w:rsid w:val="006D4D61"/>
    <w:rsid w:val="006D77B3"/>
    <w:rsid w:val="00700978"/>
    <w:rsid w:val="00712C54"/>
    <w:rsid w:val="00727CCA"/>
    <w:rsid w:val="007C7AC7"/>
    <w:rsid w:val="007E02C2"/>
    <w:rsid w:val="00827A7C"/>
    <w:rsid w:val="008415B7"/>
    <w:rsid w:val="00853DE8"/>
    <w:rsid w:val="008D4211"/>
    <w:rsid w:val="0093058D"/>
    <w:rsid w:val="0099033B"/>
    <w:rsid w:val="009A13B3"/>
    <w:rsid w:val="009B471E"/>
    <w:rsid w:val="009F6AA3"/>
    <w:rsid w:val="00A06561"/>
    <w:rsid w:val="00A1212D"/>
    <w:rsid w:val="00A8079C"/>
    <w:rsid w:val="00AD185A"/>
    <w:rsid w:val="00AF3FD7"/>
    <w:rsid w:val="00AF7396"/>
    <w:rsid w:val="00B95CDD"/>
    <w:rsid w:val="00BF52BD"/>
    <w:rsid w:val="00C85E21"/>
    <w:rsid w:val="00CE145D"/>
    <w:rsid w:val="00D2476B"/>
    <w:rsid w:val="00D8230D"/>
    <w:rsid w:val="00DA19A0"/>
    <w:rsid w:val="00DB14A3"/>
    <w:rsid w:val="00DC2189"/>
    <w:rsid w:val="00DE73E6"/>
    <w:rsid w:val="00E21A8C"/>
    <w:rsid w:val="00E344F3"/>
    <w:rsid w:val="00E95129"/>
    <w:rsid w:val="00F6543B"/>
    <w:rsid w:val="00F83C6C"/>
    <w:rsid w:val="00FC156D"/>
    <w:rsid w:val="01145609"/>
    <w:rsid w:val="011D61A5"/>
    <w:rsid w:val="01450B17"/>
    <w:rsid w:val="01542746"/>
    <w:rsid w:val="015F7349"/>
    <w:rsid w:val="016027F7"/>
    <w:rsid w:val="0162607E"/>
    <w:rsid w:val="01673A53"/>
    <w:rsid w:val="016A347B"/>
    <w:rsid w:val="01780226"/>
    <w:rsid w:val="018F695D"/>
    <w:rsid w:val="019131F7"/>
    <w:rsid w:val="019978BC"/>
    <w:rsid w:val="01B07C8A"/>
    <w:rsid w:val="01C81F50"/>
    <w:rsid w:val="01D1680C"/>
    <w:rsid w:val="01E83A82"/>
    <w:rsid w:val="01FE25AC"/>
    <w:rsid w:val="0209579C"/>
    <w:rsid w:val="021031C0"/>
    <w:rsid w:val="02214E13"/>
    <w:rsid w:val="02237F6E"/>
    <w:rsid w:val="02246689"/>
    <w:rsid w:val="024800C3"/>
    <w:rsid w:val="026E7DBF"/>
    <w:rsid w:val="02723A6B"/>
    <w:rsid w:val="027404CB"/>
    <w:rsid w:val="028306EA"/>
    <w:rsid w:val="02B077C0"/>
    <w:rsid w:val="02C31082"/>
    <w:rsid w:val="02CA241A"/>
    <w:rsid w:val="02CB056D"/>
    <w:rsid w:val="02E44C6E"/>
    <w:rsid w:val="03113F7A"/>
    <w:rsid w:val="0313544C"/>
    <w:rsid w:val="03212322"/>
    <w:rsid w:val="032D509E"/>
    <w:rsid w:val="03440A06"/>
    <w:rsid w:val="03577A2F"/>
    <w:rsid w:val="0365214C"/>
    <w:rsid w:val="036F3BD2"/>
    <w:rsid w:val="037A7837"/>
    <w:rsid w:val="037D1191"/>
    <w:rsid w:val="03AE265E"/>
    <w:rsid w:val="03C20F71"/>
    <w:rsid w:val="03DA3D2E"/>
    <w:rsid w:val="03DF7019"/>
    <w:rsid w:val="03E21036"/>
    <w:rsid w:val="03E41A71"/>
    <w:rsid w:val="0405748B"/>
    <w:rsid w:val="04093089"/>
    <w:rsid w:val="041D1575"/>
    <w:rsid w:val="042E0790"/>
    <w:rsid w:val="04505FD3"/>
    <w:rsid w:val="045D58E8"/>
    <w:rsid w:val="04663908"/>
    <w:rsid w:val="04670D9B"/>
    <w:rsid w:val="047E4E47"/>
    <w:rsid w:val="04905D97"/>
    <w:rsid w:val="04923971"/>
    <w:rsid w:val="049C1B9D"/>
    <w:rsid w:val="04E52FBC"/>
    <w:rsid w:val="04F217BD"/>
    <w:rsid w:val="0505671C"/>
    <w:rsid w:val="052A598D"/>
    <w:rsid w:val="05452DB0"/>
    <w:rsid w:val="056570BB"/>
    <w:rsid w:val="05AD4A17"/>
    <w:rsid w:val="060E385E"/>
    <w:rsid w:val="061D7134"/>
    <w:rsid w:val="06391048"/>
    <w:rsid w:val="0639166E"/>
    <w:rsid w:val="068E799F"/>
    <w:rsid w:val="06AB256C"/>
    <w:rsid w:val="06AE3E0A"/>
    <w:rsid w:val="06B84761"/>
    <w:rsid w:val="070F5132"/>
    <w:rsid w:val="07107F82"/>
    <w:rsid w:val="07131EBF"/>
    <w:rsid w:val="071D1D97"/>
    <w:rsid w:val="074F098F"/>
    <w:rsid w:val="075765C1"/>
    <w:rsid w:val="075C1508"/>
    <w:rsid w:val="07743D16"/>
    <w:rsid w:val="0783476F"/>
    <w:rsid w:val="0784374B"/>
    <w:rsid w:val="078A23D9"/>
    <w:rsid w:val="07B14F00"/>
    <w:rsid w:val="07B97CDA"/>
    <w:rsid w:val="07BD4EA7"/>
    <w:rsid w:val="07CE01FB"/>
    <w:rsid w:val="07D56D60"/>
    <w:rsid w:val="07DB3E09"/>
    <w:rsid w:val="081956F0"/>
    <w:rsid w:val="083D188E"/>
    <w:rsid w:val="085B1005"/>
    <w:rsid w:val="085E6A20"/>
    <w:rsid w:val="086E268A"/>
    <w:rsid w:val="08713096"/>
    <w:rsid w:val="089E4CBE"/>
    <w:rsid w:val="08CC5632"/>
    <w:rsid w:val="08D61A76"/>
    <w:rsid w:val="08DC3C42"/>
    <w:rsid w:val="08F22D68"/>
    <w:rsid w:val="08FC0E5C"/>
    <w:rsid w:val="08FC10E8"/>
    <w:rsid w:val="094732E2"/>
    <w:rsid w:val="0949237B"/>
    <w:rsid w:val="0957607B"/>
    <w:rsid w:val="09580F22"/>
    <w:rsid w:val="095B475D"/>
    <w:rsid w:val="097A1905"/>
    <w:rsid w:val="097C4EFF"/>
    <w:rsid w:val="09867C2C"/>
    <w:rsid w:val="098A6751"/>
    <w:rsid w:val="09AB521E"/>
    <w:rsid w:val="09C13FE3"/>
    <w:rsid w:val="09DD5A21"/>
    <w:rsid w:val="09DF5F46"/>
    <w:rsid w:val="09E25F9F"/>
    <w:rsid w:val="09FE7BE0"/>
    <w:rsid w:val="0A033F37"/>
    <w:rsid w:val="0A110938"/>
    <w:rsid w:val="0A1C1758"/>
    <w:rsid w:val="0A362FD0"/>
    <w:rsid w:val="0A884FC3"/>
    <w:rsid w:val="0A896598"/>
    <w:rsid w:val="0AA82DF1"/>
    <w:rsid w:val="0AB8166C"/>
    <w:rsid w:val="0ADD7A78"/>
    <w:rsid w:val="0AE0030A"/>
    <w:rsid w:val="0AE11D9E"/>
    <w:rsid w:val="0AF463B3"/>
    <w:rsid w:val="0B021D78"/>
    <w:rsid w:val="0B076C1A"/>
    <w:rsid w:val="0B2160EF"/>
    <w:rsid w:val="0B385642"/>
    <w:rsid w:val="0B5201C8"/>
    <w:rsid w:val="0B611919"/>
    <w:rsid w:val="0B6900CF"/>
    <w:rsid w:val="0B7754E4"/>
    <w:rsid w:val="0B7E51EE"/>
    <w:rsid w:val="0B8830B3"/>
    <w:rsid w:val="0BD13A4B"/>
    <w:rsid w:val="0BDC6D23"/>
    <w:rsid w:val="0BF26B78"/>
    <w:rsid w:val="0BF95F1B"/>
    <w:rsid w:val="0BFC3CA0"/>
    <w:rsid w:val="0C1A292F"/>
    <w:rsid w:val="0C1C416C"/>
    <w:rsid w:val="0C2D57D1"/>
    <w:rsid w:val="0C48085D"/>
    <w:rsid w:val="0C833643"/>
    <w:rsid w:val="0C9378A1"/>
    <w:rsid w:val="0C970A1A"/>
    <w:rsid w:val="0CB661FE"/>
    <w:rsid w:val="0CCC035D"/>
    <w:rsid w:val="0CD35150"/>
    <w:rsid w:val="0CEE1F56"/>
    <w:rsid w:val="0CF2796D"/>
    <w:rsid w:val="0CF911D7"/>
    <w:rsid w:val="0CFB1B52"/>
    <w:rsid w:val="0D297EB1"/>
    <w:rsid w:val="0D2F7FD6"/>
    <w:rsid w:val="0D376E65"/>
    <w:rsid w:val="0D3F2E14"/>
    <w:rsid w:val="0D464D9C"/>
    <w:rsid w:val="0D495186"/>
    <w:rsid w:val="0D4D0D34"/>
    <w:rsid w:val="0D4E28CF"/>
    <w:rsid w:val="0D8C553C"/>
    <w:rsid w:val="0D927D0C"/>
    <w:rsid w:val="0DA337A7"/>
    <w:rsid w:val="0DCE0265"/>
    <w:rsid w:val="0DD640F3"/>
    <w:rsid w:val="0DDE7437"/>
    <w:rsid w:val="0DF021DD"/>
    <w:rsid w:val="0DF13E09"/>
    <w:rsid w:val="0E06239A"/>
    <w:rsid w:val="0E252C04"/>
    <w:rsid w:val="0E2A12B3"/>
    <w:rsid w:val="0E4E59DE"/>
    <w:rsid w:val="0E830013"/>
    <w:rsid w:val="0EA56CFF"/>
    <w:rsid w:val="0EAC7240"/>
    <w:rsid w:val="0EBF342E"/>
    <w:rsid w:val="0EC57F43"/>
    <w:rsid w:val="0EE92266"/>
    <w:rsid w:val="0EF703A7"/>
    <w:rsid w:val="0F045EB9"/>
    <w:rsid w:val="0F153EF9"/>
    <w:rsid w:val="0F163326"/>
    <w:rsid w:val="0F322B02"/>
    <w:rsid w:val="0F487887"/>
    <w:rsid w:val="0F4E18C7"/>
    <w:rsid w:val="0F52015A"/>
    <w:rsid w:val="0F5E4FA9"/>
    <w:rsid w:val="0F607C6B"/>
    <w:rsid w:val="0F6800FC"/>
    <w:rsid w:val="0F6A68A1"/>
    <w:rsid w:val="0F971A88"/>
    <w:rsid w:val="0F9A6950"/>
    <w:rsid w:val="0FAB53D3"/>
    <w:rsid w:val="0FB44C39"/>
    <w:rsid w:val="0FD10FB1"/>
    <w:rsid w:val="0FE0329E"/>
    <w:rsid w:val="105A7346"/>
    <w:rsid w:val="105F01DB"/>
    <w:rsid w:val="106403B9"/>
    <w:rsid w:val="106519DD"/>
    <w:rsid w:val="10992E46"/>
    <w:rsid w:val="10C503B2"/>
    <w:rsid w:val="10EB49BB"/>
    <w:rsid w:val="10FA13B5"/>
    <w:rsid w:val="110F267B"/>
    <w:rsid w:val="11125512"/>
    <w:rsid w:val="1113740B"/>
    <w:rsid w:val="111D0B0F"/>
    <w:rsid w:val="1120014D"/>
    <w:rsid w:val="11367DC0"/>
    <w:rsid w:val="113C31CE"/>
    <w:rsid w:val="11415062"/>
    <w:rsid w:val="114F57AF"/>
    <w:rsid w:val="11637B31"/>
    <w:rsid w:val="11985DAF"/>
    <w:rsid w:val="119A56B6"/>
    <w:rsid w:val="11A00CD2"/>
    <w:rsid w:val="11A47887"/>
    <w:rsid w:val="11DF3773"/>
    <w:rsid w:val="11F0428C"/>
    <w:rsid w:val="11F16D5E"/>
    <w:rsid w:val="120925F8"/>
    <w:rsid w:val="122A129C"/>
    <w:rsid w:val="12335EC3"/>
    <w:rsid w:val="125E0D24"/>
    <w:rsid w:val="126B60DD"/>
    <w:rsid w:val="12AC4514"/>
    <w:rsid w:val="12E73B9A"/>
    <w:rsid w:val="132B0E3C"/>
    <w:rsid w:val="133C05AC"/>
    <w:rsid w:val="13784296"/>
    <w:rsid w:val="139726CB"/>
    <w:rsid w:val="13AC16D1"/>
    <w:rsid w:val="13AD455F"/>
    <w:rsid w:val="13CD5B68"/>
    <w:rsid w:val="13E70B49"/>
    <w:rsid w:val="13EB1202"/>
    <w:rsid w:val="13EE3A98"/>
    <w:rsid w:val="13EE730A"/>
    <w:rsid w:val="140432BB"/>
    <w:rsid w:val="1422525C"/>
    <w:rsid w:val="14506500"/>
    <w:rsid w:val="14524600"/>
    <w:rsid w:val="145C7C9C"/>
    <w:rsid w:val="146718B9"/>
    <w:rsid w:val="146B4252"/>
    <w:rsid w:val="14915106"/>
    <w:rsid w:val="14A52394"/>
    <w:rsid w:val="14BF71E2"/>
    <w:rsid w:val="14DC5FE6"/>
    <w:rsid w:val="14F93000"/>
    <w:rsid w:val="151563F4"/>
    <w:rsid w:val="151D053F"/>
    <w:rsid w:val="158346B4"/>
    <w:rsid w:val="159863B1"/>
    <w:rsid w:val="15A30DC6"/>
    <w:rsid w:val="15A836B4"/>
    <w:rsid w:val="15AD60CD"/>
    <w:rsid w:val="15B94E1C"/>
    <w:rsid w:val="15D8055B"/>
    <w:rsid w:val="1607329C"/>
    <w:rsid w:val="163F3E27"/>
    <w:rsid w:val="164B6F7F"/>
    <w:rsid w:val="164D645A"/>
    <w:rsid w:val="165F63FA"/>
    <w:rsid w:val="166F0A3F"/>
    <w:rsid w:val="167A7944"/>
    <w:rsid w:val="16C2360F"/>
    <w:rsid w:val="16CB1E6E"/>
    <w:rsid w:val="16DF3D11"/>
    <w:rsid w:val="17107A02"/>
    <w:rsid w:val="177732D2"/>
    <w:rsid w:val="178348C0"/>
    <w:rsid w:val="1796247C"/>
    <w:rsid w:val="17A4042A"/>
    <w:rsid w:val="17B23A4C"/>
    <w:rsid w:val="17CF500A"/>
    <w:rsid w:val="17E256C1"/>
    <w:rsid w:val="18233FD2"/>
    <w:rsid w:val="182B1054"/>
    <w:rsid w:val="18426B32"/>
    <w:rsid w:val="188C446D"/>
    <w:rsid w:val="18A322AB"/>
    <w:rsid w:val="18D33E44"/>
    <w:rsid w:val="18E72BB0"/>
    <w:rsid w:val="18EB25F1"/>
    <w:rsid w:val="18FD26A9"/>
    <w:rsid w:val="1905659E"/>
    <w:rsid w:val="19123DDC"/>
    <w:rsid w:val="1943295C"/>
    <w:rsid w:val="19544F8E"/>
    <w:rsid w:val="19695781"/>
    <w:rsid w:val="196A3BC0"/>
    <w:rsid w:val="196A4F0C"/>
    <w:rsid w:val="197B2710"/>
    <w:rsid w:val="19B178A8"/>
    <w:rsid w:val="19CB47EA"/>
    <w:rsid w:val="19D618FD"/>
    <w:rsid w:val="19E61938"/>
    <w:rsid w:val="19E95EE4"/>
    <w:rsid w:val="1A1D65E2"/>
    <w:rsid w:val="1A506BEA"/>
    <w:rsid w:val="1A694281"/>
    <w:rsid w:val="1A9E33B7"/>
    <w:rsid w:val="1AB05F4B"/>
    <w:rsid w:val="1AB12CB6"/>
    <w:rsid w:val="1AE4057D"/>
    <w:rsid w:val="1AF41535"/>
    <w:rsid w:val="1B050485"/>
    <w:rsid w:val="1B061270"/>
    <w:rsid w:val="1B1E276D"/>
    <w:rsid w:val="1B1F4278"/>
    <w:rsid w:val="1B2D759B"/>
    <w:rsid w:val="1B832A6A"/>
    <w:rsid w:val="1B9C20F9"/>
    <w:rsid w:val="1C0A6041"/>
    <w:rsid w:val="1C1D4F53"/>
    <w:rsid w:val="1C3801CB"/>
    <w:rsid w:val="1C5507E7"/>
    <w:rsid w:val="1C5749AC"/>
    <w:rsid w:val="1C647BD7"/>
    <w:rsid w:val="1CAF4D5C"/>
    <w:rsid w:val="1CC20CC1"/>
    <w:rsid w:val="1CC77360"/>
    <w:rsid w:val="1CF25781"/>
    <w:rsid w:val="1CF3243A"/>
    <w:rsid w:val="1D0F064D"/>
    <w:rsid w:val="1D35155A"/>
    <w:rsid w:val="1D394DC7"/>
    <w:rsid w:val="1D3D40E7"/>
    <w:rsid w:val="1D45293C"/>
    <w:rsid w:val="1D482D9D"/>
    <w:rsid w:val="1D541122"/>
    <w:rsid w:val="1D6B7F07"/>
    <w:rsid w:val="1D7E4971"/>
    <w:rsid w:val="1D952267"/>
    <w:rsid w:val="1D992CC6"/>
    <w:rsid w:val="1D9C33E8"/>
    <w:rsid w:val="1DA22DC3"/>
    <w:rsid w:val="1DB93CFA"/>
    <w:rsid w:val="1DC061AC"/>
    <w:rsid w:val="1DC35352"/>
    <w:rsid w:val="1DDC4FCD"/>
    <w:rsid w:val="1DEE5CCC"/>
    <w:rsid w:val="1E14234D"/>
    <w:rsid w:val="1E155DA0"/>
    <w:rsid w:val="1E2930B3"/>
    <w:rsid w:val="1E6F4059"/>
    <w:rsid w:val="1EC9341E"/>
    <w:rsid w:val="1ED03E0F"/>
    <w:rsid w:val="1EDB0B68"/>
    <w:rsid w:val="1F292969"/>
    <w:rsid w:val="1F2A66D9"/>
    <w:rsid w:val="1F2D7294"/>
    <w:rsid w:val="1F3A7EB5"/>
    <w:rsid w:val="1F3D7C25"/>
    <w:rsid w:val="1F4D02EC"/>
    <w:rsid w:val="1F4F6B54"/>
    <w:rsid w:val="1F595EDD"/>
    <w:rsid w:val="1F8144B8"/>
    <w:rsid w:val="1FA31BDA"/>
    <w:rsid w:val="1FA92F69"/>
    <w:rsid w:val="1FCC023A"/>
    <w:rsid w:val="1FE26DB4"/>
    <w:rsid w:val="1FF92D32"/>
    <w:rsid w:val="20323AAC"/>
    <w:rsid w:val="20340D02"/>
    <w:rsid w:val="2041763D"/>
    <w:rsid w:val="20476A09"/>
    <w:rsid w:val="20491709"/>
    <w:rsid w:val="20540327"/>
    <w:rsid w:val="206A6B9C"/>
    <w:rsid w:val="20784DE6"/>
    <w:rsid w:val="209F2591"/>
    <w:rsid w:val="20B326D1"/>
    <w:rsid w:val="20C626AD"/>
    <w:rsid w:val="20EC6899"/>
    <w:rsid w:val="20F31871"/>
    <w:rsid w:val="21107582"/>
    <w:rsid w:val="21627873"/>
    <w:rsid w:val="21690C01"/>
    <w:rsid w:val="218E45BD"/>
    <w:rsid w:val="21913013"/>
    <w:rsid w:val="219915B7"/>
    <w:rsid w:val="21A41D2A"/>
    <w:rsid w:val="21B33A99"/>
    <w:rsid w:val="21D80D00"/>
    <w:rsid w:val="22097CEF"/>
    <w:rsid w:val="221B5810"/>
    <w:rsid w:val="222235A5"/>
    <w:rsid w:val="222C2B78"/>
    <w:rsid w:val="223826A7"/>
    <w:rsid w:val="226C7202"/>
    <w:rsid w:val="2281034C"/>
    <w:rsid w:val="22A301F1"/>
    <w:rsid w:val="22B81625"/>
    <w:rsid w:val="22C5455D"/>
    <w:rsid w:val="22C72083"/>
    <w:rsid w:val="22D14AEE"/>
    <w:rsid w:val="22DB5B2F"/>
    <w:rsid w:val="22E158C4"/>
    <w:rsid w:val="22E96046"/>
    <w:rsid w:val="23021118"/>
    <w:rsid w:val="231B4A22"/>
    <w:rsid w:val="231D4771"/>
    <w:rsid w:val="232B2612"/>
    <w:rsid w:val="232D0A25"/>
    <w:rsid w:val="233A5655"/>
    <w:rsid w:val="234349F9"/>
    <w:rsid w:val="23787522"/>
    <w:rsid w:val="2379491E"/>
    <w:rsid w:val="23A076DF"/>
    <w:rsid w:val="23D52F96"/>
    <w:rsid w:val="23DA7667"/>
    <w:rsid w:val="24047AC5"/>
    <w:rsid w:val="242A2BAF"/>
    <w:rsid w:val="243C3D82"/>
    <w:rsid w:val="245310F2"/>
    <w:rsid w:val="246103A1"/>
    <w:rsid w:val="246B10FD"/>
    <w:rsid w:val="248118CF"/>
    <w:rsid w:val="249748D4"/>
    <w:rsid w:val="24AE0D12"/>
    <w:rsid w:val="24EF5FF5"/>
    <w:rsid w:val="24F23291"/>
    <w:rsid w:val="255743F7"/>
    <w:rsid w:val="255860FF"/>
    <w:rsid w:val="256051B8"/>
    <w:rsid w:val="257F2DE8"/>
    <w:rsid w:val="258B662F"/>
    <w:rsid w:val="25BA1A2C"/>
    <w:rsid w:val="25DD6D94"/>
    <w:rsid w:val="25DF1DA4"/>
    <w:rsid w:val="25E21F56"/>
    <w:rsid w:val="2607298B"/>
    <w:rsid w:val="26117FE7"/>
    <w:rsid w:val="26147EB3"/>
    <w:rsid w:val="262F71B3"/>
    <w:rsid w:val="26304D18"/>
    <w:rsid w:val="26412A0C"/>
    <w:rsid w:val="26717C2C"/>
    <w:rsid w:val="26847FEE"/>
    <w:rsid w:val="268A7E06"/>
    <w:rsid w:val="26942C8F"/>
    <w:rsid w:val="26B65B82"/>
    <w:rsid w:val="26D7660D"/>
    <w:rsid w:val="26D905D7"/>
    <w:rsid w:val="26DA7936"/>
    <w:rsid w:val="26E17572"/>
    <w:rsid w:val="26E7071F"/>
    <w:rsid w:val="26F10941"/>
    <w:rsid w:val="27165388"/>
    <w:rsid w:val="272037E2"/>
    <w:rsid w:val="273677D8"/>
    <w:rsid w:val="27441D1F"/>
    <w:rsid w:val="27755417"/>
    <w:rsid w:val="27777B88"/>
    <w:rsid w:val="27807C18"/>
    <w:rsid w:val="27A118A2"/>
    <w:rsid w:val="27CC1A2B"/>
    <w:rsid w:val="27CC77DA"/>
    <w:rsid w:val="27EA29B9"/>
    <w:rsid w:val="27FD1D81"/>
    <w:rsid w:val="280769BD"/>
    <w:rsid w:val="280D4694"/>
    <w:rsid w:val="282E1568"/>
    <w:rsid w:val="282E5A14"/>
    <w:rsid w:val="283E6E57"/>
    <w:rsid w:val="2851385E"/>
    <w:rsid w:val="286F11F3"/>
    <w:rsid w:val="287C121A"/>
    <w:rsid w:val="288159A9"/>
    <w:rsid w:val="28AB3FA6"/>
    <w:rsid w:val="28AE38EF"/>
    <w:rsid w:val="28CD5F1A"/>
    <w:rsid w:val="28D268E4"/>
    <w:rsid w:val="28E27963"/>
    <w:rsid w:val="28F015A0"/>
    <w:rsid w:val="28F25F18"/>
    <w:rsid w:val="291B7351"/>
    <w:rsid w:val="292749BC"/>
    <w:rsid w:val="29337A8F"/>
    <w:rsid w:val="29395B00"/>
    <w:rsid w:val="293C106B"/>
    <w:rsid w:val="293C306C"/>
    <w:rsid w:val="29464744"/>
    <w:rsid w:val="296016C9"/>
    <w:rsid w:val="297236A1"/>
    <w:rsid w:val="29C961F6"/>
    <w:rsid w:val="29D60DFE"/>
    <w:rsid w:val="29E47F3B"/>
    <w:rsid w:val="29F32E8B"/>
    <w:rsid w:val="29F924A3"/>
    <w:rsid w:val="29FE76F2"/>
    <w:rsid w:val="2A0B6F72"/>
    <w:rsid w:val="2A107869"/>
    <w:rsid w:val="2A1C4A45"/>
    <w:rsid w:val="2A3026EF"/>
    <w:rsid w:val="2A48159F"/>
    <w:rsid w:val="2A5A7698"/>
    <w:rsid w:val="2A5D507B"/>
    <w:rsid w:val="2A7A5D93"/>
    <w:rsid w:val="2A7C6AAB"/>
    <w:rsid w:val="2A862186"/>
    <w:rsid w:val="2AAB67C7"/>
    <w:rsid w:val="2ABC4498"/>
    <w:rsid w:val="2AC43714"/>
    <w:rsid w:val="2AD6263E"/>
    <w:rsid w:val="2ADC7CA4"/>
    <w:rsid w:val="2AE6002A"/>
    <w:rsid w:val="2AFC6C27"/>
    <w:rsid w:val="2B0B5465"/>
    <w:rsid w:val="2B277934"/>
    <w:rsid w:val="2B3A4F93"/>
    <w:rsid w:val="2B474D44"/>
    <w:rsid w:val="2B5A6AC6"/>
    <w:rsid w:val="2B7358C9"/>
    <w:rsid w:val="2B74267D"/>
    <w:rsid w:val="2B83228B"/>
    <w:rsid w:val="2B851356"/>
    <w:rsid w:val="2B9043DE"/>
    <w:rsid w:val="2BD16A99"/>
    <w:rsid w:val="2C28298A"/>
    <w:rsid w:val="2C323B17"/>
    <w:rsid w:val="2C324A12"/>
    <w:rsid w:val="2C65642E"/>
    <w:rsid w:val="2C717E1F"/>
    <w:rsid w:val="2C7464FF"/>
    <w:rsid w:val="2C854D6A"/>
    <w:rsid w:val="2C8C3A91"/>
    <w:rsid w:val="2C92725E"/>
    <w:rsid w:val="2CBC499D"/>
    <w:rsid w:val="2CEB21C0"/>
    <w:rsid w:val="2CF226E1"/>
    <w:rsid w:val="2D0B3873"/>
    <w:rsid w:val="2D3A4514"/>
    <w:rsid w:val="2D4D4A4B"/>
    <w:rsid w:val="2D80605C"/>
    <w:rsid w:val="2DAD00C8"/>
    <w:rsid w:val="2DD00E44"/>
    <w:rsid w:val="2E065A62"/>
    <w:rsid w:val="2E3367ED"/>
    <w:rsid w:val="2E4202BB"/>
    <w:rsid w:val="2E585394"/>
    <w:rsid w:val="2E814DED"/>
    <w:rsid w:val="2E8D7B25"/>
    <w:rsid w:val="2EAC4B56"/>
    <w:rsid w:val="2ED77E04"/>
    <w:rsid w:val="2ED808BE"/>
    <w:rsid w:val="2EDF3347"/>
    <w:rsid w:val="2F0C331C"/>
    <w:rsid w:val="2F104B00"/>
    <w:rsid w:val="2F1172B1"/>
    <w:rsid w:val="2F164410"/>
    <w:rsid w:val="2F1D4900"/>
    <w:rsid w:val="2F2B74F6"/>
    <w:rsid w:val="2F430CE4"/>
    <w:rsid w:val="2F4E5BAA"/>
    <w:rsid w:val="2F553F58"/>
    <w:rsid w:val="2F5C7FF7"/>
    <w:rsid w:val="2F68074A"/>
    <w:rsid w:val="2F755F1B"/>
    <w:rsid w:val="2F85551B"/>
    <w:rsid w:val="2F8E3DDD"/>
    <w:rsid w:val="2F9B1F9A"/>
    <w:rsid w:val="2F9C14EE"/>
    <w:rsid w:val="2FAF6379"/>
    <w:rsid w:val="2FC97A81"/>
    <w:rsid w:val="2FD720AB"/>
    <w:rsid w:val="2FDC4681"/>
    <w:rsid w:val="2FE07F96"/>
    <w:rsid w:val="300128E6"/>
    <w:rsid w:val="30186D9C"/>
    <w:rsid w:val="30497013"/>
    <w:rsid w:val="304E57CC"/>
    <w:rsid w:val="305111DE"/>
    <w:rsid w:val="306B3B6C"/>
    <w:rsid w:val="30882E00"/>
    <w:rsid w:val="309E7D7E"/>
    <w:rsid w:val="30AD6D47"/>
    <w:rsid w:val="30B4548F"/>
    <w:rsid w:val="30E95C0A"/>
    <w:rsid w:val="30F02295"/>
    <w:rsid w:val="31A036DE"/>
    <w:rsid w:val="31C3445F"/>
    <w:rsid w:val="31D151C4"/>
    <w:rsid w:val="31DB7B50"/>
    <w:rsid w:val="31DD4672"/>
    <w:rsid w:val="31E21B6E"/>
    <w:rsid w:val="31E36A97"/>
    <w:rsid w:val="31F60AB4"/>
    <w:rsid w:val="31FA05D3"/>
    <w:rsid w:val="31FC4E78"/>
    <w:rsid w:val="320B2916"/>
    <w:rsid w:val="32332122"/>
    <w:rsid w:val="323D6CB8"/>
    <w:rsid w:val="324A347A"/>
    <w:rsid w:val="325A196E"/>
    <w:rsid w:val="32601BAD"/>
    <w:rsid w:val="32812ABF"/>
    <w:rsid w:val="32991ECC"/>
    <w:rsid w:val="32A108E2"/>
    <w:rsid w:val="32A27611"/>
    <w:rsid w:val="32B83797"/>
    <w:rsid w:val="32F8667D"/>
    <w:rsid w:val="32FD1AFC"/>
    <w:rsid w:val="335A62AD"/>
    <w:rsid w:val="3364747B"/>
    <w:rsid w:val="336D1D56"/>
    <w:rsid w:val="33B629D2"/>
    <w:rsid w:val="33B8254A"/>
    <w:rsid w:val="33BF11AA"/>
    <w:rsid w:val="33E46B97"/>
    <w:rsid w:val="34020707"/>
    <w:rsid w:val="340F5638"/>
    <w:rsid w:val="341342D8"/>
    <w:rsid w:val="341C7BA7"/>
    <w:rsid w:val="341D288D"/>
    <w:rsid w:val="342C69B6"/>
    <w:rsid w:val="3439166F"/>
    <w:rsid w:val="343D70B6"/>
    <w:rsid w:val="344B3770"/>
    <w:rsid w:val="34586428"/>
    <w:rsid w:val="34671966"/>
    <w:rsid w:val="347167BC"/>
    <w:rsid w:val="347E2AD1"/>
    <w:rsid w:val="3492001E"/>
    <w:rsid w:val="3498542C"/>
    <w:rsid w:val="349F569D"/>
    <w:rsid w:val="34AF2977"/>
    <w:rsid w:val="34EA7502"/>
    <w:rsid w:val="34FA1E45"/>
    <w:rsid w:val="350E62E8"/>
    <w:rsid w:val="35204D95"/>
    <w:rsid w:val="352E43B4"/>
    <w:rsid w:val="3541448E"/>
    <w:rsid w:val="355D7512"/>
    <w:rsid w:val="35757FCD"/>
    <w:rsid w:val="359F5A1F"/>
    <w:rsid w:val="35A9358A"/>
    <w:rsid w:val="35BA59EF"/>
    <w:rsid w:val="35D61919"/>
    <w:rsid w:val="35DF4223"/>
    <w:rsid w:val="35ED7200"/>
    <w:rsid w:val="36583551"/>
    <w:rsid w:val="36622906"/>
    <w:rsid w:val="36812F76"/>
    <w:rsid w:val="368609AB"/>
    <w:rsid w:val="36B66891"/>
    <w:rsid w:val="36BF3346"/>
    <w:rsid w:val="36CF7301"/>
    <w:rsid w:val="370555DC"/>
    <w:rsid w:val="37091F27"/>
    <w:rsid w:val="371F662B"/>
    <w:rsid w:val="372B5833"/>
    <w:rsid w:val="37450512"/>
    <w:rsid w:val="374510CB"/>
    <w:rsid w:val="374762EE"/>
    <w:rsid w:val="37626AD7"/>
    <w:rsid w:val="3769540C"/>
    <w:rsid w:val="376B6055"/>
    <w:rsid w:val="3783770F"/>
    <w:rsid w:val="3787460F"/>
    <w:rsid w:val="379B7E94"/>
    <w:rsid w:val="37AD5986"/>
    <w:rsid w:val="37B32B13"/>
    <w:rsid w:val="37D064A2"/>
    <w:rsid w:val="37EC0259"/>
    <w:rsid w:val="37EF1A09"/>
    <w:rsid w:val="383270EA"/>
    <w:rsid w:val="38B11F1F"/>
    <w:rsid w:val="38B642D4"/>
    <w:rsid w:val="38D35375"/>
    <w:rsid w:val="398F0DF2"/>
    <w:rsid w:val="39932766"/>
    <w:rsid w:val="39DB61AA"/>
    <w:rsid w:val="39FC1056"/>
    <w:rsid w:val="3A091E3F"/>
    <w:rsid w:val="3A4F49E1"/>
    <w:rsid w:val="3A6D4E67"/>
    <w:rsid w:val="3A7B3A28"/>
    <w:rsid w:val="3AA1346D"/>
    <w:rsid w:val="3ABF0E80"/>
    <w:rsid w:val="3ACC19F3"/>
    <w:rsid w:val="3AEE3683"/>
    <w:rsid w:val="3B017822"/>
    <w:rsid w:val="3B0E0041"/>
    <w:rsid w:val="3B3977BC"/>
    <w:rsid w:val="3B3F04CE"/>
    <w:rsid w:val="3B492FEC"/>
    <w:rsid w:val="3B7010D6"/>
    <w:rsid w:val="3B7019AF"/>
    <w:rsid w:val="3B867DC2"/>
    <w:rsid w:val="3B874A01"/>
    <w:rsid w:val="3B8766E7"/>
    <w:rsid w:val="3B8F1236"/>
    <w:rsid w:val="3BBA5AB4"/>
    <w:rsid w:val="3BC3758B"/>
    <w:rsid w:val="3BCA28D0"/>
    <w:rsid w:val="3BD573B6"/>
    <w:rsid w:val="3C3B6B72"/>
    <w:rsid w:val="3C4744C5"/>
    <w:rsid w:val="3C4E735A"/>
    <w:rsid w:val="3C552056"/>
    <w:rsid w:val="3C5C51D0"/>
    <w:rsid w:val="3C8961A9"/>
    <w:rsid w:val="3C8A1488"/>
    <w:rsid w:val="3CB74C32"/>
    <w:rsid w:val="3CBE6039"/>
    <w:rsid w:val="3CCE0F57"/>
    <w:rsid w:val="3CE40D20"/>
    <w:rsid w:val="3CE77802"/>
    <w:rsid w:val="3D09356D"/>
    <w:rsid w:val="3D0A5A2A"/>
    <w:rsid w:val="3D0C7061"/>
    <w:rsid w:val="3D123DB5"/>
    <w:rsid w:val="3D2739C8"/>
    <w:rsid w:val="3D53376E"/>
    <w:rsid w:val="3D535B9D"/>
    <w:rsid w:val="3D6B2A42"/>
    <w:rsid w:val="3D755B93"/>
    <w:rsid w:val="3D8C31A6"/>
    <w:rsid w:val="3D8C45B6"/>
    <w:rsid w:val="3DC577E5"/>
    <w:rsid w:val="3E0C657B"/>
    <w:rsid w:val="3E204E6A"/>
    <w:rsid w:val="3E2F571F"/>
    <w:rsid w:val="3E6B5B61"/>
    <w:rsid w:val="3E6B6D9C"/>
    <w:rsid w:val="3E730BBA"/>
    <w:rsid w:val="3E85487C"/>
    <w:rsid w:val="3E942940"/>
    <w:rsid w:val="3EB25949"/>
    <w:rsid w:val="3ECE07D9"/>
    <w:rsid w:val="3ECF79B3"/>
    <w:rsid w:val="3EE625D4"/>
    <w:rsid w:val="3EF84157"/>
    <w:rsid w:val="3F052B35"/>
    <w:rsid w:val="3F147610"/>
    <w:rsid w:val="3F15211D"/>
    <w:rsid w:val="3F664AB6"/>
    <w:rsid w:val="3F8E4EA4"/>
    <w:rsid w:val="3FA23647"/>
    <w:rsid w:val="3FC34F31"/>
    <w:rsid w:val="3FD35F8C"/>
    <w:rsid w:val="3FD845E5"/>
    <w:rsid w:val="3FDD65EB"/>
    <w:rsid w:val="3FE65C6E"/>
    <w:rsid w:val="404828FB"/>
    <w:rsid w:val="405B0E43"/>
    <w:rsid w:val="40741FD7"/>
    <w:rsid w:val="407C39FC"/>
    <w:rsid w:val="408919D6"/>
    <w:rsid w:val="408E54D0"/>
    <w:rsid w:val="40AD5380"/>
    <w:rsid w:val="40B71B62"/>
    <w:rsid w:val="40D43E92"/>
    <w:rsid w:val="40D519B8"/>
    <w:rsid w:val="40D86EA6"/>
    <w:rsid w:val="410A6E2D"/>
    <w:rsid w:val="410C5943"/>
    <w:rsid w:val="416E4A03"/>
    <w:rsid w:val="416F5968"/>
    <w:rsid w:val="418D18ED"/>
    <w:rsid w:val="418F600A"/>
    <w:rsid w:val="41A01FC6"/>
    <w:rsid w:val="41D93AB7"/>
    <w:rsid w:val="4212468A"/>
    <w:rsid w:val="4214206C"/>
    <w:rsid w:val="421C1585"/>
    <w:rsid w:val="422E7C57"/>
    <w:rsid w:val="42360701"/>
    <w:rsid w:val="42540C82"/>
    <w:rsid w:val="42590E40"/>
    <w:rsid w:val="42794052"/>
    <w:rsid w:val="42A87384"/>
    <w:rsid w:val="42CB4E20"/>
    <w:rsid w:val="42CC7139"/>
    <w:rsid w:val="42D529B5"/>
    <w:rsid w:val="42DB7916"/>
    <w:rsid w:val="43073CDD"/>
    <w:rsid w:val="43093A65"/>
    <w:rsid w:val="43172476"/>
    <w:rsid w:val="433C41A2"/>
    <w:rsid w:val="4364521D"/>
    <w:rsid w:val="439B2A45"/>
    <w:rsid w:val="439E0787"/>
    <w:rsid w:val="439F3B8B"/>
    <w:rsid w:val="43A26E5A"/>
    <w:rsid w:val="43AA5655"/>
    <w:rsid w:val="43B110AE"/>
    <w:rsid w:val="43E05A11"/>
    <w:rsid w:val="43E24C4D"/>
    <w:rsid w:val="43F0682F"/>
    <w:rsid w:val="44000AFA"/>
    <w:rsid w:val="44116024"/>
    <w:rsid w:val="441C0331"/>
    <w:rsid w:val="44297F98"/>
    <w:rsid w:val="4436451B"/>
    <w:rsid w:val="443905A6"/>
    <w:rsid w:val="44772A0F"/>
    <w:rsid w:val="44B6443E"/>
    <w:rsid w:val="44BD22F6"/>
    <w:rsid w:val="44BF52CE"/>
    <w:rsid w:val="44E52080"/>
    <w:rsid w:val="44E623E5"/>
    <w:rsid w:val="44F63223"/>
    <w:rsid w:val="44FC1094"/>
    <w:rsid w:val="45070703"/>
    <w:rsid w:val="45291D8C"/>
    <w:rsid w:val="45563050"/>
    <w:rsid w:val="455D28D0"/>
    <w:rsid w:val="45660FE2"/>
    <w:rsid w:val="459A7DAF"/>
    <w:rsid w:val="45B25DBF"/>
    <w:rsid w:val="45C566FB"/>
    <w:rsid w:val="45E50F14"/>
    <w:rsid w:val="45E906E6"/>
    <w:rsid w:val="46210B8A"/>
    <w:rsid w:val="46255BE7"/>
    <w:rsid w:val="4637368E"/>
    <w:rsid w:val="467D7D89"/>
    <w:rsid w:val="46A10941"/>
    <w:rsid w:val="46A30998"/>
    <w:rsid w:val="46AF0157"/>
    <w:rsid w:val="46B3324E"/>
    <w:rsid w:val="46F537C7"/>
    <w:rsid w:val="47005DA0"/>
    <w:rsid w:val="47077884"/>
    <w:rsid w:val="471018D2"/>
    <w:rsid w:val="47250F9D"/>
    <w:rsid w:val="472C5946"/>
    <w:rsid w:val="47346181"/>
    <w:rsid w:val="477517FF"/>
    <w:rsid w:val="477C2B8D"/>
    <w:rsid w:val="47907F16"/>
    <w:rsid w:val="479E18D3"/>
    <w:rsid w:val="47A45634"/>
    <w:rsid w:val="47B916EB"/>
    <w:rsid w:val="47E37174"/>
    <w:rsid w:val="47E84A5D"/>
    <w:rsid w:val="47FB3319"/>
    <w:rsid w:val="481607C6"/>
    <w:rsid w:val="485F7A42"/>
    <w:rsid w:val="48674788"/>
    <w:rsid w:val="487E5F4A"/>
    <w:rsid w:val="488E2949"/>
    <w:rsid w:val="48DD1CD9"/>
    <w:rsid w:val="48E17599"/>
    <w:rsid w:val="48EE14C5"/>
    <w:rsid w:val="48F60A57"/>
    <w:rsid w:val="49050213"/>
    <w:rsid w:val="49203360"/>
    <w:rsid w:val="49223890"/>
    <w:rsid w:val="495913D8"/>
    <w:rsid w:val="495C3939"/>
    <w:rsid w:val="49971F00"/>
    <w:rsid w:val="49994290"/>
    <w:rsid w:val="49A56257"/>
    <w:rsid w:val="49AB59AC"/>
    <w:rsid w:val="49F44C5D"/>
    <w:rsid w:val="4A16631E"/>
    <w:rsid w:val="4A3B64F4"/>
    <w:rsid w:val="4AC540C9"/>
    <w:rsid w:val="4ACF04C3"/>
    <w:rsid w:val="4B16509E"/>
    <w:rsid w:val="4B491E59"/>
    <w:rsid w:val="4B4B2FA2"/>
    <w:rsid w:val="4B615BCA"/>
    <w:rsid w:val="4B6330DC"/>
    <w:rsid w:val="4B8A1C40"/>
    <w:rsid w:val="4BA0730E"/>
    <w:rsid w:val="4BC40805"/>
    <w:rsid w:val="4BC67415"/>
    <w:rsid w:val="4BE24451"/>
    <w:rsid w:val="4BFE2324"/>
    <w:rsid w:val="4C09160F"/>
    <w:rsid w:val="4C09174D"/>
    <w:rsid w:val="4C107D48"/>
    <w:rsid w:val="4C1415E6"/>
    <w:rsid w:val="4C3553AE"/>
    <w:rsid w:val="4C4261D4"/>
    <w:rsid w:val="4C675F73"/>
    <w:rsid w:val="4C7F49C9"/>
    <w:rsid w:val="4C8074B2"/>
    <w:rsid w:val="4C9F65D9"/>
    <w:rsid w:val="4CC62D40"/>
    <w:rsid w:val="4CD700C2"/>
    <w:rsid w:val="4CF83B0E"/>
    <w:rsid w:val="4D0200A4"/>
    <w:rsid w:val="4D0B408F"/>
    <w:rsid w:val="4D265A75"/>
    <w:rsid w:val="4D3017F6"/>
    <w:rsid w:val="4D417DCA"/>
    <w:rsid w:val="4D4227C6"/>
    <w:rsid w:val="4D662315"/>
    <w:rsid w:val="4D720CBA"/>
    <w:rsid w:val="4D816DA2"/>
    <w:rsid w:val="4D84279B"/>
    <w:rsid w:val="4D993830"/>
    <w:rsid w:val="4DAB56AB"/>
    <w:rsid w:val="4DB03590"/>
    <w:rsid w:val="4DB932D4"/>
    <w:rsid w:val="4DBD24AC"/>
    <w:rsid w:val="4DC637A6"/>
    <w:rsid w:val="4DCC3C8B"/>
    <w:rsid w:val="4DDE5CFA"/>
    <w:rsid w:val="4DEB67A8"/>
    <w:rsid w:val="4E0D3424"/>
    <w:rsid w:val="4E1C29D4"/>
    <w:rsid w:val="4E2150AC"/>
    <w:rsid w:val="4E425263"/>
    <w:rsid w:val="4E4D2D2D"/>
    <w:rsid w:val="4E6006CF"/>
    <w:rsid w:val="4E821763"/>
    <w:rsid w:val="4EA824BA"/>
    <w:rsid w:val="4EAB376E"/>
    <w:rsid w:val="4EB15472"/>
    <w:rsid w:val="4EBA5EB6"/>
    <w:rsid w:val="4EC4535A"/>
    <w:rsid w:val="4F004C2F"/>
    <w:rsid w:val="4F033E1A"/>
    <w:rsid w:val="4F0B3B4D"/>
    <w:rsid w:val="4F245FE4"/>
    <w:rsid w:val="4F310F29"/>
    <w:rsid w:val="4F88650A"/>
    <w:rsid w:val="4F8C0099"/>
    <w:rsid w:val="4F8F55E7"/>
    <w:rsid w:val="4F950C90"/>
    <w:rsid w:val="4F963E53"/>
    <w:rsid w:val="4F9D3F46"/>
    <w:rsid w:val="4FC13316"/>
    <w:rsid w:val="4FC92D51"/>
    <w:rsid w:val="4FFA6BBD"/>
    <w:rsid w:val="502275BE"/>
    <w:rsid w:val="50485720"/>
    <w:rsid w:val="50504D75"/>
    <w:rsid w:val="50553806"/>
    <w:rsid w:val="506458B3"/>
    <w:rsid w:val="50726A1D"/>
    <w:rsid w:val="507D5BA0"/>
    <w:rsid w:val="5088765E"/>
    <w:rsid w:val="50A462DA"/>
    <w:rsid w:val="510501AA"/>
    <w:rsid w:val="51324FD6"/>
    <w:rsid w:val="513F1957"/>
    <w:rsid w:val="518F170F"/>
    <w:rsid w:val="519339FC"/>
    <w:rsid w:val="51954F77"/>
    <w:rsid w:val="51B65558"/>
    <w:rsid w:val="51B73097"/>
    <w:rsid w:val="51E511FB"/>
    <w:rsid w:val="51EB1871"/>
    <w:rsid w:val="52296BDB"/>
    <w:rsid w:val="5233098E"/>
    <w:rsid w:val="52374280"/>
    <w:rsid w:val="52467614"/>
    <w:rsid w:val="52AB341F"/>
    <w:rsid w:val="52C11D9C"/>
    <w:rsid w:val="52D010CE"/>
    <w:rsid w:val="52E45BB4"/>
    <w:rsid w:val="52F05DAE"/>
    <w:rsid w:val="53044854"/>
    <w:rsid w:val="531445C2"/>
    <w:rsid w:val="531E478C"/>
    <w:rsid w:val="53255780"/>
    <w:rsid w:val="532F0B5E"/>
    <w:rsid w:val="533114AF"/>
    <w:rsid w:val="536469AE"/>
    <w:rsid w:val="53910748"/>
    <w:rsid w:val="539E40EB"/>
    <w:rsid w:val="53B67427"/>
    <w:rsid w:val="540E1DEB"/>
    <w:rsid w:val="542E16B3"/>
    <w:rsid w:val="543C7B9E"/>
    <w:rsid w:val="544D47D2"/>
    <w:rsid w:val="5458228C"/>
    <w:rsid w:val="546508AE"/>
    <w:rsid w:val="546E7A66"/>
    <w:rsid w:val="54707129"/>
    <w:rsid w:val="547B441B"/>
    <w:rsid w:val="547C5546"/>
    <w:rsid w:val="54843EBE"/>
    <w:rsid w:val="54994D7E"/>
    <w:rsid w:val="54C561D3"/>
    <w:rsid w:val="54D75EDD"/>
    <w:rsid w:val="54D933CD"/>
    <w:rsid w:val="54D9517B"/>
    <w:rsid w:val="54E0309E"/>
    <w:rsid w:val="551975E7"/>
    <w:rsid w:val="552B0C9C"/>
    <w:rsid w:val="553700E4"/>
    <w:rsid w:val="556422E7"/>
    <w:rsid w:val="55693925"/>
    <w:rsid w:val="556C4241"/>
    <w:rsid w:val="556E010B"/>
    <w:rsid w:val="55750EB4"/>
    <w:rsid w:val="55905E4E"/>
    <w:rsid w:val="559D200B"/>
    <w:rsid w:val="55A25EB5"/>
    <w:rsid w:val="55B251E0"/>
    <w:rsid w:val="55F64438"/>
    <w:rsid w:val="560E32FC"/>
    <w:rsid w:val="560F7B47"/>
    <w:rsid w:val="56393CAF"/>
    <w:rsid w:val="563A2070"/>
    <w:rsid w:val="564C4BBD"/>
    <w:rsid w:val="56553C8D"/>
    <w:rsid w:val="565C38A0"/>
    <w:rsid w:val="56636CCF"/>
    <w:rsid w:val="56713C6E"/>
    <w:rsid w:val="56A75484"/>
    <w:rsid w:val="56D355EB"/>
    <w:rsid w:val="56DC438E"/>
    <w:rsid w:val="56DF6A9E"/>
    <w:rsid w:val="570E6CD9"/>
    <w:rsid w:val="57536D7E"/>
    <w:rsid w:val="576E7DC8"/>
    <w:rsid w:val="576F39C9"/>
    <w:rsid w:val="57746F62"/>
    <w:rsid w:val="57A85800"/>
    <w:rsid w:val="57C87079"/>
    <w:rsid w:val="582805C5"/>
    <w:rsid w:val="583C439E"/>
    <w:rsid w:val="584362EC"/>
    <w:rsid w:val="585045A3"/>
    <w:rsid w:val="58675193"/>
    <w:rsid w:val="587C5135"/>
    <w:rsid w:val="58DF5C4B"/>
    <w:rsid w:val="58F033DB"/>
    <w:rsid w:val="58F73F6D"/>
    <w:rsid w:val="59030A18"/>
    <w:rsid w:val="591C2557"/>
    <w:rsid w:val="592457E1"/>
    <w:rsid w:val="592D0998"/>
    <w:rsid w:val="59350504"/>
    <w:rsid w:val="593730A6"/>
    <w:rsid w:val="59516454"/>
    <w:rsid w:val="59617E35"/>
    <w:rsid w:val="596E7DC4"/>
    <w:rsid w:val="59A93A45"/>
    <w:rsid w:val="59CB7AFB"/>
    <w:rsid w:val="59E02034"/>
    <w:rsid w:val="59ED3394"/>
    <w:rsid w:val="59F72572"/>
    <w:rsid w:val="59FC7CF7"/>
    <w:rsid w:val="59FE7432"/>
    <w:rsid w:val="5A0C7DA1"/>
    <w:rsid w:val="5A1D3DD1"/>
    <w:rsid w:val="5A2351EC"/>
    <w:rsid w:val="5A2A3236"/>
    <w:rsid w:val="5A2C5509"/>
    <w:rsid w:val="5A5301F5"/>
    <w:rsid w:val="5A5613C5"/>
    <w:rsid w:val="5A5806BA"/>
    <w:rsid w:val="5A7716AE"/>
    <w:rsid w:val="5A9255B3"/>
    <w:rsid w:val="5AAD2EF0"/>
    <w:rsid w:val="5AC73C65"/>
    <w:rsid w:val="5AE90A77"/>
    <w:rsid w:val="5AFA5A01"/>
    <w:rsid w:val="5B0825FD"/>
    <w:rsid w:val="5B123AE7"/>
    <w:rsid w:val="5B2268DA"/>
    <w:rsid w:val="5B2829B8"/>
    <w:rsid w:val="5B4C6D34"/>
    <w:rsid w:val="5B5C5B6E"/>
    <w:rsid w:val="5BB66114"/>
    <w:rsid w:val="5BC42774"/>
    <w:rsid w:val="5BDF35E2"/>
    <w:rsid w:val="5BE7262C"/>
    <w:rsid w:val="5BFA3AD6"/>
    <w:rsid w:val="5C013209"/>
    <w:rsid w:val="5C0B652D"/>
    <w:rsid w:val="5C1212A0"/>
    <w:rsid w:val="5C1E3DBB"/>
    <w:rsid w:val="5C420709"/>
    <w:rsid w:val="5C870B39"/>
    <w:rsid w:val="5C9A1694"/>
    <w:rsid w:val="5CA35286"/>
    <w:rsid w:val="5CB5471F"/>
    <w:rsid w:val="5CC71DD7"/>
    <w:rsid w:val="5CD2402A"/>
    <w:rsid w:val="5CD728E8"/>
    <w:rsid w:val="5CF737C5"/>
    <w:rsid w:val="5CFE61C2"/>
    <w:rsid w:val="5D0E4E59"/>
    <w:rsid w:val="5D3B1C21"/>
    <w:rsid w:val="5D3B758B"/>
    <w:rsid w:val="5D56529E"/>
    <w:rsid w:val="5D5B3FA4"/>
    <w:rsid w:val="5D7A1159"/>
    <w:rsid w:val="5D930355"/>
    <w:rsid w:val="5DE64CA9"/>
    <w:rsid w:val="5DF72A5A"/>
    <w:rsid w:val="5E054FAB"/>
    <w:rsid w:val="5E774322"/>
    <w:rsid w:val="5E89301D"/>
    <w:rsid w:val="5E8F7FD4"/>
    <w:rsid w:val="5E9E226D"/>
    <w:rsid w:val="5EAE1426"/>
    <w:rsid w:val="5EBE53E1"/>
    <w:rsid w:val="5ECE6721"/>
    <w:rsid w:val="5ED81A8D"/>
    <w:rsid w:val="5EFE28DD"/>
    <w:rsid w:val="5F090D52"/>
    <w:rsid w:val="5F1402CF"/>
    <w:rsid w:val="5F637DAC"/>
    <w:rsid w:val="5F7D704B"/>
    <w:rsid w:val="5FA97913"/>
    <w:rsid w:val="5FAB1E0A"/>
    <w:rsid w:val="5FAF185D"/>
    <w:rsid w:val="5FD845FB"/>
    <w:rsid w:val="5FDA5C49"/>
    <w:rsid w:val="5FFC7A70"/>
    <w:rsid w:val="60052F43"/>
    <w:rsid w:val="600A2FD4"/>
    <w:rsid w:val="60113DBE"/>
    <w:rsid w:val="60206B12"/>
    <w:rsid w:val="602D5E15"/>
    <w:rsid w:val="60484C87"/>
    <w:rsid w:val="604F0B27"/>
    <w:rsid w:val="60636FCE"/>
    <w:rsid w:val="60695297"/>
    <w:rsid w:val="60741CF8"/>
    <w:rsid w:val="607F7E6E"/>
    <w:rsid w:val="60A57862"/>
    <w:rsid w:val="60AB5DA6"/>
    <w:rsid w:val="60AC4BA8"/>
    <w:rsid w:val="60B74AB0"/>
    <w:rsid w:val="61025A59"/>
    <w:rsid w:val="61071943"/>
    <w:rsid w:val="61354FC1"/>
    <w:rsid w:val="614B7C69"/>
    <w:rsid w:val="61534507"/>
    <w:rsid w:val="615C518E"/>
    <w:rsid w:val="615C69CD"/>
    <w:rsid w:val="616D6656"/>
    <w:rsid w:val="61803F6F"/>
    <w:rsid w:val="61870B33"/>
    <w:rsid w:val="618E1C4C"/>
    <w:rsid w:val="61A35845"/>
    <w:rsid w:val="61B950ED"/>
    <w:rsid w:val="61BD35FC"/>
    <w:rsid w:val="61C15A6E"/>
    <w:rsid w:val="61C16FAE"/>
    <w:rsid w:val="61E958C5"/>
    <w:rsid w:val="620454CE"/>
    <w:rsid w:val="62075531"/>
    <w:rsid w:val="624125B1"/>
    <w:rsid w:val="624D36C7"/>
    <w:rsid w:val="625C58C6"/>
    <w:rsid w:val="62773F59"/>
    <w:rsid w:val="62AB7DAA"/>
    <w:rsid w:val="62B3226A"/>
    <w:rsid w:val="62BE3C02"/>
    <w:rsid w:val="62D05A64"/>
    <w:rsid w:val="62D56658"/>
    <w:rsid w:val="62E52571"/>
    <w:rsid w:val="62F40542"/>
    <w:rsid w:val="62F74E17"/>
    <w:rsid w:val="62F94150"/>
    <w:rsid w:val="63070FF6"/>
    <w:rsid w:val="630930CF"/>
    <w:rsid w:val="63116B61"/>
    <w:rsid w:val="633C68BF"/>
    <w:rsid w:val="637974B6"/>
    <w:rsid w:val="638E7A78"/>
    <w:rsid w:val="63AA5812"/>
    <w:rsid w:val="63D95197"/>
    <w:rsid w:val="63DC74B1"/>
    <w:rsid w:val="63DF4AD6"/>
    <w:rsid w:val="641A0EC0"/>
    <w:rsid w:val="641C5B03"/>
    <w:rsid w:val="643F7A8C"/>
    <w:rsid w:val="644F3CDE"/>
    <w:rsid w:val="645F69A5"/>
    <w:rsid w:val="647F336D"/>
    <w:rsid w:val="648E5842"/>
    <w:rsid w:val="64942747"/>
    <w:rsid w:val="64996341"/>
    <w:rsid w:val="64E076E5"/>
    <w:rsid w:val="64E50406"/>
    <w:rsid w:val="64FA7C33"/>
    <w:rsid w:val="650414C0"/>
    <w:rsid w:val="65165F77"/>
    <w:rsid w:val="65180933"/>
    <w:rsid w:val="65181CEF"/>
    <w:rsid w:val="65265127"/>
    <w:rsid w:val="652748AF"/>
    <w:rsid w:val="652D12C7"/>
    <w:rsid w:val="654C7A0A"/>
    <w:rsid w:val="656B1D99"/>
    <w:rsid w:val="656E49A4"/>
    <w:rsid w:val="65954D6B"/>
    <w:rsid w:val="659A32FC"/>
    <w:rsid w:val="65C63B99"/>
    <w:rsid w:val="65D11E9E"/>
    <w:rsid w:val="65E46075"/>
    <w:rsid w:val="65ED7AC8"/>
    <w:rsid w:val="65FF7564"/>
    <w:rsid w:val="66124991"/>
    <w:rsid w:val="661F2C0A"/>
    <w:rsid w:val="66265595"/>
    <w:rsid w:val="66342FEC"/>
    <w:rsid w:val="66497A55"/>
    <w:rsid w:val="664F4EF8"/>
    <w:rsid w:val="66806627"/>
    <w:rsid w:val="66C21E55"/>
    <w:rsid w:val="66C54326"/>
    <w:rsid w:val="66D0556E"/>
    <w:rsid w:val="66DA4347"/>
    <w:rsid w:val="66DE2765"/>
    <w:rsid w:val="66E84100"/>
    <w:rsid w:val="671B1623"/>
    <w:rsid w:val="67382021"/>
    <w:rsid w:val="676551A8"/>
    <w:rsid w:val="67723FEF"/>
    <w:rsid w:val="677B7C7D"/>
    <w:rsid w:val="67A578AE"/>
    <w:rsid w:val="67A907FB"/>
    <w:rsid w:val="67AC3EF2"/>
    <w:rsid w:val="67D62BB2"/>
    <w:rsid w:val="67FD5D55"/>
    <w:rsid w:val="6825128F"/>
    <w:rsid w:val="68430FC8"/>
    <w:rsid w:val="68884DA0"/>
    <w:rsid w:val="688C4077"/>
    <w:rsid w:val="6898646E"/>
    <w:rsid w:val="68AE013D"/>
    <w:rsid w:val="68AE5A9C"/>
    <w:rsid w:val="68B16653"/>
    <w:rsid w:val="68B714F6"/>
    <w:rsid w:val="68D12327"/>
    <w:rsid w:val="68D35EE5"/>
    <w:rsid w:val="68D83CB8"/>
    <w:rsid w:val="68D91796"/>
    <w:rsid w:val="68DD74D8"/>
    <w:rsid w:val="69040313"/>
    <w:rsid w:val="694B2E16"/>
    <w:rsid w:val="69657BD3"/>
    <w:rsid w:val="696638FC"/>
    <w:rsid w:val="6987701B"/>
    <w:rsid w:val="69D871E5"/>
    <w:rsid w:val="6A1C2FB2"/>
    <w:rsid w:val="6A4F3C3F"/>
    <w:rsid w:val="6A984540"/>
    <w:rsid w:val="6AA84469"/>
    <w:rsid w:val="6AB75E2F"/>
    <w:rsid w:val="6AD00976"/>
    <w:rsid w:val="6AD745C9"/>
    <w:rsid w:val="6AD927EC"/>
    <w:rsid w:val="6AFE7353"/>
    <w:rsid w:val="6B0958E8"/>
    <w:rsid w:val="6B0A5A95"/>
    <w:rsid w:val="6B1110D8"/>
    <w:rsid w:val="6B264BAF"/>
    <w:rsid w:val="6B2A0087"/>
    <w:rsid w:val="6B6E5123"/>
    <w:rsid w:val="6B712E92"/>
    <w:rsid w:val="6BA70534"/>
    <w:rsid w:val="6BC24763"/>
    <w:rsid w:val="6BE015B9"/>
    <w:rsid w:val="6BE50272"/>
    <w:rsid w:val="6BEB1F0C"/>
    <w:rsid w:val="6C022DB1"/>
    <w:rsid w:val="6C027260"/>
    <w:rsid w:val="6C5715C8"/>
    <w:rsid w:val="6C6140B5"/>
    <w:rsid w:val="6C852502"/>
    <w:rsid w:val="6C8B724B"/>
    <w:rsid w:val="6C97174C"/>
    <w:rsid w:val="6CAE078E"/>
    <w:rsid w:val="6CF33ACD"/>
    <w:rsid w:val="6D071EA4"/>
    <w:rsid w:val="6D0E4382"/>
    <w:rsid w:val="6D5B74E6"/>
    <w:rsid w:val="6D800432"/>
    <w:rsid w:val="6D841E4C"/>
    <w:rsid w:val="6D9B75A6"/>
    <w:rsid w:val="6DB3661B"/>
    <w:rsid w:val="6DBB6430"/>
    <w:rsid w:val="6DC616A5"/>
    <w:rsid w:val="6DC8432A"/>
    <w:rsid w:val="6DCC57AA"/>
    <w:rsid w:val="6DF2235C"/>
    <w:rsid w:val="6DF8036A"/>
    <w:rsid w:val="6DFA5D1E"/>
    <w:rsid w:val="6E04018C"/>
    <w:rsid w:val="6E2006A5"/>
    <w:rsid w:val="6E237DA5"/>
    <w:rsid w:val="6E270660"/>
    <w:rsid w:val="6E30177C"/>
    <w:rsid w:val="6E3A0F28"/>
    <w:rsid w:val="6E6C6C08"/>
    <w:rsid w:val="6E762BF3"/>
    <w:rsid w:val="6E795B85"/>
    <w:rsid w:val="6E8508A5"/>
    <w:rsid w:val="6E902A69"/>
    <w:rsid w:val="6E9176C7"/>
    <w:rsid w:val="6E990041"/>
    <w:rsid w:val="6EA97E5C"/>
    <w:rsid w:val="6EB34837"/>
    <w:rsid w:val="6EBB4E06"/>
    <w:rsid w:val="6ED32632"/>
    <w:rsid w:val="6EEB5029"/>
    <w:rsid w:val="6EF52439"/>
    <w:rsid w:val="6F082BBA"/>
    <w:rsid w:val="6F165415"/>
    <w:rsid w:val="6F536C34"/>
    <w:rsid w:val="6F6E246C"/>
    <w:rsid w:val="6F7915DC"/>
    <w:rsid w:val="6FCC05BF"/>
    <w:rsid w:val="701A08E0"/>
    <w:rsid w:val="701F7FC1"/>
    <w:rsid w:val="702B1CF9"/>
    <w:rsid w:val="704020FA"/>
    <w:rsid w:val="70636FBC"/>
    <w:rsid w:val="707D50FC"/>
    <w:rsid w:val="70943455"/>
    <w:rsid w:val="70A22688"/>
    <w:rsid w:val="70CC0441"/>
    <w:rsid w:val="70CD7026"/>
    <w:rsid w:val="70ED2601"/>
    <w:rsid w:val="70FA499F"/>
    <w:rsid w:val="710B18E0"/>
    <w:rsid w:val="712E05F6"/>
    <w:rsid w:val="713200A2"/>
    <w:rsid w:val="7148086A"/>
    <w:rsid w:val="715B70AF"/>
    <w:rsid w:val="717E2EDA"/>
    <w:rsid w:val="718F59A1"/>
    <w:rsid w:val="71A55A61"/>
    <w:rsid w:val="71FB1AA6"/>
    <w:rsid w:val="7201335C"/>
    <w:rsid w:val="720450B5"/>
    <w:rsid w:val="721312F6"/>
    <w:rsid w:val="72150A7D"/>
    <w:rsid w:val="7251239D"/>
    <w:rsid w:val="7259241C"/>
    <w:rsid w:val="726029E5"/>
    <w:rsid w:val="72B168CA"/>
    <w:rsid w:val="72B60621"/>
    <w:rsid w:val="72BB1F0C"/>
    <w:rsid w:val="72C12E73"/>
    <w:rsid w:val="72CD764B"/>
    <w:rsid w:val="72EE4510"/>
    <w:rsid w:val="730B7574"/>
    <w:rsid w:val="732D2E0A"/>
    <w:rsid w:val="734406C3"/>
    <w:rsid w:val="734725F4"/>
    <w:rsid w:val="73493E27"/>
    <w:rsid w:val="734E61C6"/>
    <w:rsid w:val="735830F3"/>
    <w:rsid w:val="735B0E4A"/>
    <w:rsid w:val="737D7091"/>
    <w:rsid w:val="73A40551"/>
    <w:rsid w:val="73B97E32"/>
    <w:rsid w:val="73CB1AEB"/>
    <w:rsid w:val="73EB029B"/>
    <w:rsid w:val="741B7A65"/>
    <w:rsid w:val="74222BCA"/>
    <w:rsid w:val="74385730"/>
    <w:rsid w:val="743E6DF3"/>
    <w:rsid w:val="745B7503"/>
    <w:rsid w:val="745C066F"/>
    <w:rsid w:val="74645E33"/>
    <w:rsid w:val="74B67030"/>
    <w:rsid w:val="74C51996"/>
    <w:rsid w:val="74DD1FBC"/>
    <w:rsid w:val="74E136FC"/>
    <w:rsid w:val="74F328A8"/>
    <w:rsid w:val="75497CA3"/>
    <w:rsid w:val="7570397F"/>
    <w:rsid w:val="75955469"/>
    <w:rsid w:val="75AC3A76"/>
    <w:rsid w:val="75C94940"/>
    <w:rsid w:val="75E12204"/>
    <w:rsid w:val="75E4177A"/>
    <w:rsid w:val="75F4259C"/>
    <w:rsid w:val="75FA7D7C"/>
    <w:rsid w:val="76192060"/>
    <w:rsid w:val="761D6AB0"/>
    <w:rsid w:val="763349D0"/>
    <w:rsid w:val="76366479"/>
    <w:rsid w:val="764C2075"/>
    <w:rsid w:val="7654495D"/>
    <w:rsid w:val="766C0F95"/>
    <w:rsid w:val="76D07CF8"/>
    <w:rsid w:val="76D8408D"/>
    <w:rsid w:val="76DB4852"/>
    <w:rsid w:val="76EC01A3"/>
    <w:rsid w:val="76F62BA8"/>
    <w:rsid w:val="770E285C"/>
    <w:rsid w:val="772A6DDD"/>
    <w:rsid w:val="7739048F"/>
    <w:rsid w:val="774C53CE"/>
    <w:rsid w:val="774D0E49"/>
    <w:rsid w:val="77534A4E"/>
    <w:rsid w:val="776E16F9"/>
    <w:rsid w:val="77774B6F"/>
    <w:rsid w:val="777E5B37"/>
    <w:rsid w:val="77ED7576"/>
    <w:rsid w:val="78012A39"/>
    <w:rsid w:val="780244B0"/>
    <w:rsid w:val="78052D06"/>
    <w:rsid w:val="78182DED"/>
    <w:rsid w:val="781B58F0"/>
    <w:rsid w:val="783145BC"/>
    <w:rsid w:val="785B52D1"/>
    <w:rsid w:val="785F6DA0"/>
    <w:rsid w:val="7861249A"/>
    <w:rsid w:val="78706713"/>
    <w:rsid w:val="7879089F"/>
    <w:rsid w:val="78A41B3C"/>
    <w:rsid w:val="78A63CF9"/>
    <w:rsid w:val="78E635A0"/>
    <w:rsid w:val="78EA241E"/>
    <w:rsid w:val="79127B43"/>
    <w:rsid w:val="791A6280"/>
    <w:rsid w:val="7924263F"/>
    <w:rsid w:val="7951722A"/>
    <w:rsid w:val="7973201D"/>
    <w:rsid w:val="79D6313C"/>
    <w:rsid w:val="79E1600D"/>
    <w:rsid w:val="79E85B02"/>
    <w:rsid w:val="7A2E2EA3"/>
    <w:rsid w:val="7A5A101B"/>
    <w:rsid w:val="7A890382"/>
    <w:rsid w:val="7A9D2A14"/>
    <w:rsid w:val="7A9E4949"/>
    <w:rsid w:val="7AB94F83"/>
    <w:rsid w:val="7B167A43"/>
    <w:rsid w:val="7B175447"/>
    <w:rsid w:val="7B510A09"/>
    <w:rsid w:val="7B513BD5"/>
    <w:rsid w:val="7B701E84"/>
    <w:rsid w:val="7B902188"/>
    <w:rsid w:val="7B9F599C"/>
    <w:rsid w:val="7BA75723"/>
    <w:rsid w:val="7BB00FC9"/>
    <w:rsid w:val="7BC07885"/>
    <w:rsid w:val="7BF5023D"/>
    <w:rsid w:val="7BFE0833"/>
    <w:rsid w:val="7C1B534B"/>
    <w:rsid w:val="7C1C1588"/>
    <w:rsid w:val="7C235D71"/>
    <w:rsid w:val="7C293D90"/>
    <w:rsid w:val="7C3A20F4"/>
    <w:rsid w:val="7C462F41"/>
    <w:rsid w:val="7C482A62"/>
    <w:rsid w:val="7C4E4C8C"/>
    <w:rsid w:val="7C5B6317"/>
    <w:rsid w:val="7C6264D4"/>
    <w:rsid w:val="7C743857"/>
    <w:rsid w:val="7C744611"/>
    <w:rsid w:val="7C7E0732"/>
    <w:rsid w:val="7C834713"/>
    <w:rsid w:val="7C962FC7"/>
    <w:rsid w:val="7CBC51FE"/>
    <w:rsid w:val="7CC44ECB"/>
    <w:rsid w:val="7CE37753"/>
    <w:rsid w:val="7CEC41F7"/>
    <w:rsid w:val="7D262EE2"/>
    <w:rsid w:val="7D3149F1"/>
    <w:rsid w:val="7D486498"/>
    <w:rsid w:val="7D782ED3"/>
    <w:rsid w:val="7D8F5C3D"/>
    <w:rsid w:val="7D980AB5"/>
    <w:rsid w:val="7DA77C5D"/>
    <w:rsid w:val="7DB36601"/>
    <w:rsid w:val="7DE3516A"/>
    <w:rsid w:val="7DEA359C"/>
    <w:rsid w:val="7E13397E"/>
    <w:rsid w:val="7E1D2536"/>
    <w:rsid w:val="7E4959FE"/>
    <w:rsid w:val="7E5A62C9"/>
    <w:rsid w:val="7E690FDF"/>
    <w:rsid w:val="7E8A55B4"/>
    <w:rsid w:val="7EB11AC6"/>
    <w:rsid w:val="7ED526A4"/>
    <w:rsid w:val="7EDE76AE"/>
    <w:rsid w:val="7EE529F1"/>
    <w:rsid w:val="7F144737"/>
    <w:rsid w:val="7F160372"/>
    <w:rsid w:val="7F39083A"/>
    <w:rsid w:val="7F6C75F1"/>
    <w:rsid w:val="7F890F9E"/>
    <w:rsid w:val="7F9B40E4"/>
    <w:rsid w:val="7FAE2F34"/>
    <w:rsid w:val="7FC9698A"/>
    <w:rsid w:val="7FD05249"/>
    <w:rsid w:val="7FDE43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55"/>
    <w:qFormat/>
    <w:uiPriority w:val="0"/>
    <w:pPr>
      <w:keepNext/>
      <w:keepLines/>
      <w:numPr>
        <w:ilvl w:val="0"/>
        <w:numId w:val="1"/>
      </w:numPr>
      <w:spacing w:before="340" w:after="330" w:line="578" w:lineRule="auto"/>
      <w:jc w:val="center"/>
      <w:outlineLvl w:val="0"/>
    </w:pPr>
    <w:rPr>
      <w:rFonts w:ascii="Times New Roman" w:hAnsi="Times New Roman" w:eastAsia="黑体" w:cs="Times New Roman"/>
      <w:b/>
      <w:kern w:val="44"/>
      <w:sz w:val="36"/>
      <w:szCs w:val="20"/>
    </w:rPr>
  </w:style>
  <w:style w:type="paragraph" w:styleId="2">
    <w:name w:val="heading 2"/>
    <w:basedOn w:val="1"/>
    <w:next w:val="1"/>
    <w:link w:val="63"/>
    <w:qFormat/>
    <w:uiPriority w:val="0"/>
    <w:pPr>
      <w:keepNext/>
      <w:keepLines/>
      <w:spacing w:line="413" w:lineRule="auto"/>
      <w:outlineLvl w:val="1"/>
    </w:pPr>
    <w:rPr>
      <w:rFonts w:ascii="Arial" w:hAnsi="Arial" w:eastAsia="Wingdings"/>
      <w:b/>
      <w:bCs/>
      <w:sz w:val="32"/>
      <w:szCs w:val="32"/>
    </w:rPr>
  </w:style>
  <w:style w:type="paragraph" w:styleId="4">
    <w:name w:val="heading 3"/>
    <w:basedOn w:val="1"/>
    <w:next w:val="1"/>
    <w:link w:val="64"/>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6"/>
    <w:link w:val="56"/>
    <w:qFormat/>
    <w:uiPriority w:val="0"/>
    <w:pPr>
      <w:keepNext/>
      <w:keepLines/>
      <w:numPr>
        <w:ilvl w:val="0"/>
        <w:numId w:val="2"/>
      </w:numPr>
      <w:spacing w:before="360" w:line="240" w:lineRule="exact"/>
      <w:outlineLvl w:val="3"/>
    </w:pPr>
    <w:rPr>
      <w:rFonts w:ascii="宋体" w:hAnsi="Times New Roman" w:eastAsia="宋体" w:cs="Times New Roman"/>
      <w:b/>
      <w:sz w:val="28"/>
      <w:szCs w:val="20"/>
    </w:rPr>
  </w:style>
  <w:style w:type="paragraph" w:styleId="7">
    <w:name w:val="heading 5"/>
    <w:basedOn w:val="1"/>
    <w:next w:val="6"/>
    <w:link w:val="57"/>
    <w:qFormat/>
    <w:uiPriority w:val="0"/>
    <w:pPr>
      <w:keepNext/>
      <w:keepLines/>
      <w:numPr>
        <w:ilvl w:val="4"/>
        <w:numId w:val="1"/>
      </w:numPr>
      <w:spacing w:before="280" w:after="290" w:line="376" w:lineRule="auto"/>
      <w:outlineLvl w:val="4"/>
    </w:pPr>
    <w:rPr>
      <w:rFonts w:ascii="Times New Roman" w:hAnsi="Times New Roman" w:eastAsia="宋体" w:cs="Times New Roman"/>
      <w:b/>
      <w:sz w:val="28"/>
      <w:szCs w:val="20"/>
    </w:rPr>
  </w:style>
  <w:style w:type="paragraph" w:styleId="8">
    <w:name w:val="heading 6"/>
    <w:basedOn w:val="1"/>
    <w:next w:val="6"/>
    <w:link w:val="58"/>
    <w:qFormat/>
    <w:uiPriority w:val="0"/>
    <w:pPr>
      <w:keepNext/>
      <w:keepLines/>
      <w:numPr>
        <w:ilvl w:val="5"/>
        <w:numId w:val="1"/>
      </w:numPr>
      <w:spacing w:before="240" w:after="64" w:line="320" w:lineRule="auto"/>
      <w:outlineLvl w:val="5"/>
    </w:pPr>
    <w:rPr>
      <w:rFonts w:ascii="Arial" w:hAnsi="Arial" w:eastAsia="黑体" w:cs="Times New Roman"/>
      <w:b/>
      <w:sz w:val="24"/>
      <w:szCs w:val="20"/>
    </w:rPr>
  </w:style>
  <w:style w:type="paragraph" w:styleId="9">
    <w:name w:val="heading 7"/>
    <w:basedOn w:val="1"/>
    <w:next w:val="6"/>
    <w:link w:val="59"/>
    <w:qFormat/>
    <w:uiPriority w:val="0"/>
    <w:pPr>
      <w:keepNext/>
      <w:keepLines/>
      <w:numPr>
        <w:ilvl w:val="6"/>
        <w:numId w:val="1"/>
      </w:numPr>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6"/>
    <w:link w:val="60"/>
    <w:qFormat/>
    <w:uiPriority w:val="0"/>
    <w:pPr>
      <w:keepNext/>
      <w:keepLines/>
      <w:numPr>
        <w:ilvl w:val="7"/>
        <w:numId w:val="1"/>
      </w:numPr>
      <w:spacing w:before="240" w:after="64" w:line="320" w:lineRule="auto"/>
      <w:outlineLvl w:val="7"/>
    </w:pPr>
    <w:rPr>
      <w:rFonts w:ascii="Arial" w:hAnsi="Arial" w:eastAsia="黑体" w:cs="Times New Roman"/>
      <w:sz w:val="24"/>
      <w:szCs w:val="20"/>
    </w:rPr>
  </w:style>
  <w:style w:type="paragraph" w:styleId="11">
    <w:name w:val="heading 9"/>
    <w:basedOn w:val="1"/>
    <w:next w:val="6"/>
    <w:link w:val="61"/>
    <w:qFormat/>
    <w:uiPriority w:val="0"/>
    <w:pPr>
      <w:keepNext/>
      <w:keepLines/>
      <w:numPr>
        <w:ilvl w:val="8"/>
        <w:numId w:val="1"/>
      </w:numPr>
      <w:spacing w:before="240" w:after="64" w:line="320" w:lineRule="auto"/>
      <w:outlineLvl w:val="8"/>
    </w:pPr>
    <w:rPr>
      <w:rFonts w:ascii="Arial" w:hAnsi="Arial" w:eastAsia="黑体" w:cs="Times New Roman"/>
      <w:szCs w:val="20"/>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3"/>
    <w:unhideWhenUsed/>
    <w:qFormat/>
    <w:uiPriority w:val="0"/>
    <w:pPr>
      <w:ind w:firstLine="420" w:firstLineChars="200"/>
    </w:pPr>
  </w:style>
  <w:style w:type="paragraph" w:styleId="12">
    <w:name w:val="List 3"/>
    <w:basedOn w:val="1"/>
    <w:qFormat/>
    <w:uiPriority w:val="0"/>
    <w:pPr>
      <w:spacing w:line="360" w:lineRule="auto"/>
      <w:jc w:val="center"/>
    </w:pPr>
    <w:rPr>
      <w:rFonts w:ascii="Times New Roman" w:hAnsi="Times New Roman"/>
      <w:kern w:val="3"/>
      <w:sz w:val="18"/>
      <w:szCs w:val="18"/>
    </w:rPr>
  </w:style>
  <w:style w:type="paragraph" w:styleId="13">
    <w:name w:val="annotation text"/>
    <w:basedOn w:val="1"/>
    <w:link w:val="51"/>
    <w:qFormat/>
    <w:uiPriority w:val="99"/>
    <w:pPr>
      <w:jc w:val="left"/>
    </w:pPr>
  </w:style>
  <w:style w:type="paragraph" w:styleId="14">
    <w:name w:val="Body Text"/>
    <w:basedOn w:val="1"/>
    <w:next w:val="1"/>
    <w:unhideWhenUsed/>
    <w:qFormat/>
    <w:uiPriority w:val="0"/>
  </w:style>
  <w:style w:type="paragraph" w:styleId="15">
    <w:name w:val="Body Text Indent"/>
    <w:basedOn w:val="1"/>
    <w:next w:val="16"/>
    <w:qFormat/>
    <w:uiPriority w:val="0"/>
    <w:pPr>
      <w:ind w:firstLine="627"/>
    </w:pPr>
    <w:rPr>
      <w:sz w:val="28"/>
    </w:rPr>
  </w:style>
  <w:style w:type="paragraph" w:styleId="16">
    <w:name w:val="envelope return"/>
    <w:basedOn w:val="1"/>
    <w:qFormat/>
    <w:uiPriority w:val="0"/>
    <w:pPr>
      <w:snapToGrid w:val="0"/>
    </w:pPr>
    <w:rPr>
      <w:rFonts w:ascii="Arial" w:hAnsi="Arial"/>
    </w:rPr>
  </w:style>
  <w:style w:type="paragraph" w:styleId="17">
    <w:name w:val="toc 5"/>
    <w:basedOn w:val="1"/>
    <w:next w:val="1"/>
    <w:qFormat/>
    <w:uiPriority w:val="39"/>
    <w:pPr>
      <w:ind w:left="1680" w:leftChars="800"/>
    </w:pPr>
    <w:rPr>
      <w:rFonts w:ascii="Calibri" w:hAnsi="Calibri"/>
      <w:szCs w:val="22"/>
    </w:rPr>
  </w:style>
  <w:style w:type="paragraph" w:styleId="18">
    <w:name w:val="toc 3"/>
    <w:basedOn w:val="1"/>
    <w:next w:val="1"/>
    <w:qFormat/>
    <w:uiPriority w:val="0"/>
    <w:pPr>
      <w:ind w:left="840" w:leftChars="400"/>
    </w:pPr>
  </w:style>
  <w:style w:type="paragraph" w:styleId="19">
    <w:name w:val="Plain Text"/>
    <w:basedOn w:val="1"/>
    <w:link w:val="50"/>
    <w:qFormat/>
    <w:uiPriority w:val="0"/>
    <w:rPr>
      <w:rFonts w:ascii="宋体" w:hAnsi="Courier New"/>
      <w:szCs w:val="20"/>
    </w:rPr>
  </w:style>
  <w:style w:type="paragraph" w:styleId="20">
    <w:name w:val="Date"/>
    <w:basedOn w:val="1"/>
    <w:next w:val="1"/>
    <w:link w:val="65"/>
    <w:qFormat/>
    <w:uiPriority w:val="0"/>
    <w:rPr>
      <w:rFonts w:ascii="Times New Roman" w:hAnsi="Times New Roman" w:eastAsia="宋体" w:cs="Times New Roman"/>
      <w:sz w:val="28"/>
      <w:szCs w:val="20"/>
    </w:rPr>
  </w:style>
  <w:style w:type="paragraph" w:styleId="21">
    <w:name w:val="Balloon Text"/>
    <w:basedOn w:val="1"/>
    <w:link w:val="44"/>
    <w:qFormat/>
    <w:uiPriority w:val="0"/>
    <w:rPr>
      <w:sz w:val="18"/>
      <w:szCs w:val="18"/>
    </w:rPr>
  </w:style>
  <w:style w:type="paragraph" w:styleId="22">
    <w:name w:val="footer"/>
    <w:basedOn w:val="1"/>
    <w:link w:val="66"/>
    <w:qFormat/>
    <w:uiPriority w:val="99"/>
    <w:pPr>
      <w:tabs>
        <w:tab w:val="center" w:pos="4153"/>
        <w:tab w:val="right" w:pos="8306"/>
      </w:tabs>
      <w:snapToGrid w:val="0"/>
      <w:jc w:val="left"/>
    </w:pPr>
    <w:rPr>
      <w:sz w:val="18"/>
    </w:rPr>
  </w:style>
  <w:style w:type="paragraph" w:styleId="23">
    <w:name w:val="header"/>
    <w:basedOn w:val="1"/>
    <w:link w:val="6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4">
    <w:name w:val="toc 1"/>
    <w:basedOn w:val="1"/>
    <w:next w:val="1"/>
    <w:qFormat/>
    <w:uiPriority w:val="39"/>
  </w:style>
  <w:style w:type="paragraph" w:styleId="25">
    <w:name w:val="toc 2"/>
    <w:basedOn w:val="1"/>
    <w:next w:val="1"/>
    <w:qFormat/>
    <w:uiPriority w:val="39"/>
    <w:pPr>
      <w:ind w:left="420" w:leftChars="200"/>
    </w:pPr>
  </w:style>
  <w:style w:type="paragraph" w:styleId="26">
    <w:name w:val="Normal (Web)"/>
    <w:basedOn w:val="1"/>
    <w:qFormat/>
    <w:uiPriority w:val="0"/>
    <w:pPr>
      <w:spacing w:beforeAutospacing="1" w:afterAutospacing="1"/>
      <w:jc w:val="left"/>
    </w:pPr>
    <w:rPr>
      <w:rFonts w:cs="Times New Roman"/>
      <w:kern w:val="0"/>
      <w:sz w:val="24"/>
    </w:rPr>
  </w:style>
  <w:style w:type="paragraph" w:styleId="27">
    <w:name w:val="Title"/>
    <w:basedOn w:val="1"/>
    <w:next w:val="1"/>
    <w:qFormat/>
    <w:uiPriority w:val="0"/>
    <w:pPr>
      <w:jc w:val="center"/>
      <w:outlineLvl w:val="0"/>
    </w:pPr>
    <w:rPr>
      <w:rFonts w:ascii="Cambria" w:hAnsi="Cambria"/>
      <w:b/>
      <w:bCs/>
      <w:kern w:val="28"/>
      <w:sz w:val="32"/>
      <w:szCs w:val="32"/>
    </w:rPr>
  </w:style>
  <w:style w:type="paragraph" w:styleId="28">
    <w:name w:val="annotation subject"/>
    <w:basedOn w:val="13"/>
    <w:next w:val="13"/>
    <w:link w:val="54"/>
    <w:qFormat/>
    <w:uiPriority w:val="0"/>
    <w:rPr>
      <w:b/>
      <w:bCs/>
    </w:rPr>
  </w:style>
  <w:style w:type="paragraph" w:styleId="29">
    <w:name w:val="Body Text First Indent"/>
    <w:basedOn w:val="14"/>
    <w:qFormat/>
    <w:uiPriority w:val="0"/>
    <w:pPr>
      <w:ind w:firstLine="420" w:firstLineChars="100"/>
    </w:pPr>
  </w:style>
  <w:style w:type="paragraph" w:styleId="30">
    <w:name w:val="Body Text First Indent 2"/>
    <w:basedOn w:val="15"/>
    <w:next w:val="1"/>
    <w:qFormat/>
    <w:uiPriority w:val="0"/>
    <w:pPr>
      <w:ind w:left="200" w:leftChars="200" w:firstLine="420" w:firstLineChars="200"/>
    </w:pPr>
    <w:rPr>
      <w:rFonts w:ascii="宋体" w:hAnsi="宋体"/>
      <w:sz w:val="21"/>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22"/>
    <w:rPr>
      <w:b/>
    </w:rPr>
  </w:style>
  <w:style w:type="character" w:styleId="35">
    <w:name w:val="page number"/>
    <w:qFormat/>
    <w:uiPriority w:val="0"/>
  </w:style>
  <w:style w:type="character" w:styleId="36">
    <w:name w:val="Hyperlink"/>
    <w:basedOn w:val="33"/>
    <w:qFormat/>
    <w:uiPriority w:val="99"/>
    <w:rPr>
      <w:color w:val="0000FF"/>
      <w:u w:val="single"/>
    </w:rPr>
  </w:style>
  <w:style w:type="character" w:styleId="37">
    <w:name w:val="annotation reference"/>
    <w:basedOn w:val="33"/>
    <w:qFormat/>
    <w:uiPriority w:val="0"/>
    <w:rPr>
      <w:sz w:val="21"/>
      <w:szCs w:val="21"/>
    </w:rPr>
  </w:style>
  <w:style w:type="paragraph" w:customStyle="1" w:styleId="38">
    <w:name w:val="样式 标题 3 + (中文) 黑体 小四 非加粗 段前: 7.8 磅 段后: 0 磅 行距: 固定值 20 磅"/>
    <w:basedOn w:val="4"/>
    <w:qFormat/>
    <w:uiPriority w:val="0"/>
    <w:pPr>
      <w:spacing w:line="400" w:lineRule="exact"/>
    </w:pPr>
    <w:rPr>
      <w:rFonts w:eastAsia="黑体" w:cs="宋体"/>
      <w:b w:val="0"/>
      <w:sz w:val="24"/>
      <w:szCs w:val="20"/>
    </w:rPr>
  </w:style>
  <w:style w:type="paragraph" w:customStyle="1" w:styleId="39">
    <w:name w:val="Fließtext"/>
    <w:basedOn w:val="1"/>
    <w:qFormat/>
    <w:uiPriority w:val="0"/>
    <w:pPr>
      <w:overflowPunct w:val="0"/>
      <w:autoSpaceDE w:val="0"/>
      <w:autoSpaceDN w:val="0"/>
      <w:adjustRightInd w:val="0"/>
      <w:textAlignment w:val="baseline"/>
    </w:pPr>
    <w:rPr>
      <w:kern w:val="28"/>
      <w:szCs w:val="20"/>
    </w:rPr>
  </w:style>
  <w:style w:type="paragraph" w:customStyle="1" w:styleId="40">
    <w:name w:val="段"/>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41">
    <w:name w:val="active"/>
    <w:basedOn w:val="33"/>
    <w:qFormat/>
    <w:uiPriority w:val="0"/>
    <w:rPr>
      <w:shd w:val="clear" w:color="auto" w:fill="EC3535"/>
    </w:rPr>
  </w:style>
  <w:style w:type="paragraph" w:customStyle="1" w:styleId="4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3">
    <w:name w:val="表格文字"/>
    <w:basedOn w:val="1"/>
    <w:next w:val="14"/>
    <w:qFormat/>
    <w:uiPriority w:val="0"/>
    <w:pPr>
      <w:adjustRightInd w:val="0"/>
      <w:spacing w:line="420" w:lineRule="atLeast"/>
      <w:jc w:val="left"/>
      <w:textAlignment w:val="baseline"/>
    </w:pPr>
    <w:rPr>
      <w:kern w:val="0"/>
      <w:szCs w:val="20"/>
    </w:rPr>
  </w:style>
  <w:style w:type="character" w:customStyle="1" w:styleId="44">
    <w:name w:val="批注框文本 字符"/>
    <w:basedOn w:val="33"/>
    <w:link w:val="21"/>
    <w:qFormat/>
    <w:uiPriority w:val="0"/>
    <w:rPr>
      <w:rFonts w:asciiTheme="minorHAnsi" w:hAnsiTheme="minorHAnsi" w:eastAsiaTheme="minorEastAsia" w:cstheme="minorBidi"/>
      <w:kern w:val="2"/>
      <w:sz w:val="18"/>
      <w:szCs w:val="18"/>
    </w:rPr>
  </w:style>
  <w:style w:type="paragraph" w:customStyle="1" w:styleId="45">
    <w:name w:val="列出段落1"/>
    <w:basedOn w:val="1"/>
    <w:qFormat/>
    <w:uiPriority w:val="0"/>
    <w:pPr>
      <w:ind w:firstLine="420" w:firstLineChars="200"/>
    </w:pPr>
    <w:rPr>
      <w:rFonts w:ascii="Calibri" w:hAnsi="Calibri"/>
      <w:szCs w:val="22"/>
    </w:rPr>
  </w:style>
  <w:style w:type="paragraph" w:customStyle="1" w:styleId="46">
    <w:name w:val="Char Char3"/>
    <w:basedOn w:val="1"/>
    <w:qFormat/>
    <w:uiPriority w:val="0"/>
    <w:rPr>
      <w:rFonts w:ascii="Tahoma" w:hAnsi="Tahoma"/>
      <w:sz w:val="24"/>
      <w:szCs w:val="20"/>
    </w:rPr>
  </w:style>
  <w:style w:type="character" w:customStyle="1" w:styleId="47">
    <w:name w:val="customize_cgrdh"/>
    <w:basedOn w:val="33"/>
    <w:qFormat/>
    <w:uiPriority w:val="0"/>
  </w:style>
  <w:style w:type="paragraph" w:customStyle="1" w:styleId="48">
    <w:name w:val="null3"/>
    <w:hidden/>
    <w:qFormat/>
    <w:uiPriority w:val="0"/>
    <w:rPr>
      <w:rFonts w:hint="eastAsia" w:asciiTheme="minorHAnsi" w:hAnsiTheme="minorHAnsi" w:eastAsiaTheme="minorEastAsia" w:cstheme="minorBidi"/>
      <w:lang w:val="en-US" w:eastAsia="zh-CN" w:bidi="ar-SA"/>
    </w:rPr>
  </w:style>
  <w:style w:type="paragraph" w:customStyle="1" w:styleId="49">
    <w:name w:val="Body Text First Indent1"/>
    <w:basedOn w:val="14"/>
    <w:qFormat/>
    <w:uiPriority w:val="0"/>
    <w:pPr>
      <w:ind w:firstLine="420" w:firstLineChars="100"/>
    </w:pPr>
  </w:style>
  <w:style w:type="character" w:customStyle="1" w:styleId="50">
    <w:name w:val="纯文本 字符"/>
    <w:link w:val="19"/>
    <w:qFormat/>
    <w:uiPriority w:val="0"/>
    <w:rPr>
      <w:rFonts w:ascii="宋体" w:hAnsi="Courier New" w:eastAsiaTheme="minorEastAsia" w:cstheme="minorBidi"/>
      <w:kern w:val="2"/>
      <w:sz w:val="21"/>
    </w:rPr>
  </w:style>
  <w:style w:type="character" w:customStyle="1" w:styleId="51">
    <w:name w:val="批注文字 字符"/>
    <w:link w:val="13"/>
    <w:qFormat/>
    <w:uiPriority w:val="99"/>
    <w:rPr>
      <w:rFonts w:asciiTheme="minorHAnsi" w:hAnsiTheme="minorHAnsi" w:eastAsiaTheme="minorEastAsia" w:cstheme="minorBidi"/>
      <w:kern w:val="2"/>
      <w:sz w:val="21"/>
      <w:szCs w:val="24"/>
    </w:rPr>
  </w:style>
  <w:style w:type="paragraph" w:customStyle="1" w:styleId="52">
    <w:name w:val="标准"/>
    <w:basedOn w:val="1"/>
    <w:qFormat/>
    <w:uiPriority w:val="0"/>
    <w:pPr>
      <w:spacing w:line="360" w:lineRule="auto"/>
      <w:ind w:firstLine="200" w:firstLineChars="200"/>
    </w:pPr>
    <w:rPr>
      <w:rFonts w:ascii="Times New Roman" w:hAnsi="Times New Roman" w:eastAsia="宋体" w:cs="宋体"/>
      <w:szCs w:val="20"/>
    </w:rPr>
  </w:style>
  <w:style w:type="character" w:customStyle="1" w:styleId="53">
    <w:name w:val="正文缩进 字符"/>
    <w:link w:val="6"/>
    <w:qFormat/>
    <w:uiPriority w:val="0"/>
    <w:rPr>
      <w:rFonts w:asciiTheme="minorHAnsi" w:hAnsiTheme="minorHAnsi" w:eastAsiaTheme="minorEastAsia" w:cstheme="minorBidi"/>
      <w:kern w:val="2"/>
      <w:sz w:val="21"/>
      <w:szCs w:val="24"/>
    </w:rPr>
  </w:style>
  <w:style w:type="character" w:customStyle="1" w:styleId="54">
    <w:name w:val="批注主题 字符"/>
    <w:basedOn w:val="51"/>
    <w:link w:val="28"/>
    <w:qFormat/>
    <w:uiPriority w:val="0"/>
    <w:rPr>
      <w:rFonts w:asciiTheme="minorHAnsi" w:hAnsiTheme="minorHAnsi" w:eastAsiaTheme="minorEastAsia" w:cstheme="minorBidi"/>
      <w:b/>
      <w:bCs/>
      <w:kern w:val="2"/>
      <w:sz w:val="21"/>
      <w:szCs w:val="24"/>
    </w:rPr>
  </w:style>
  <w:style w:type="character" w:customStyle="1" w:styleId="55">
    <w:name w:val="标题 1 字符"/>
    <w:basedOn w:val="33"/>
    <w:link w:val="3"/>
    <w:qFormat/>
    <w:uiPriority w:val="0"/>
    <w:rPr>
      <w:rFonts w:eastAsia="黑体"/>
      <w:b/>
      <w:kern w:val="44"/>
      <w:sz w:val="36"/>
    </w:rPr>
  </w:style>
  <w:style w:type="character" w:customStyle="1" w:styleId="56">
    <w:name w:val="标题 4 字符"/>
    <w:basedOn w:val="33"/>
    <w:link w:val="5"/>
    <w:qFormat/>
    <w:uiPriority w:val="0"/>
    <w:rPr>
      <w:rFonts w:ascii="宋体"/>
      <w:b/>
      <w:kern w:val="2"/>
      <w:sz w:val="28"/>
    </w:rPr>
  </w:style>
  <w:style w:type="character" w:customStyle="1" w:styleId="57">
    <w:name w:val="标题 5 字符"/>
    <w:basedOn w:val="33"/>
    <w:link w:val="7"/>
    <w:qFormat/>
    <w:uiPriority w:val="0"/>
    <w:rPr>
      <w:b/>
      <w:kern w:val="2"/>
      <w:sz w:val="28"/>
    </w:rPr>
  </w:style>
  <w:style w:type="character" w:customStyle="1" w:styleId="58">
    <w:name w:val="标题 6 字符"/>
    <w:basedOn w:val="33"/>
    <w:link w:val="8"/>
    <w:qFormat/>
    <w:uiPriority w:val="0"/>
    <w:rPr>
      <w:rFonts w:ascii="Arial" w:hAnsi="Arial" w:eastAsia="黑体"/>
      <w:b/>
      <w:kern w:val="2"/>
      <w:sz w:val="24"/>
    </w:rPr>
  </w:style>
  <w:style w:type="character" w:customStyle="1" w:styleId="59">
    <w:name w:val="标题 7 字符"/>
    <w:basedOn w:val="33"/>
    <w:link w:val="9"/>
    <w:qFormat/>
    <w:uiPriority w:val="0"/>
    <w:rPr>
      <w:b/>
      <w:kern w:val="2"/>
      <w:sz w:val="24"/>
    </w:rPr>
  </w:style>
  <w:style w:type="character" w:customStyle="1" w:styleId="60">
    <w:name w:val="标题 8 字符"/>
    <w:basedOn w:val="33"/>
    <w:link w:val="10"/>
    <w:qFormat/>
    <w:uiPriority w:val="0"/>
    <w:rPr>
      <w:rFonts w:ascii="Arial" w:hAnsi="Arial" w:eastAsia="黑体"/>
      <w:kern w:val="2"/>
      <w:sz w:val="24"/>
    </w:rPr>
  </w:style>
  <w:style w:type="character" w:customStyle="1" w:styleId="61">
    <w:name w:val="标题 9 字符"/>
    <w:basedOn w:val="33"/>
    <w:link w:val="11"/>
    <w:qFormat/>
    <w:uiPriority w:val="0"/>
    <w:rPr>
      <w:rFonts w:ascii="Arial" w:hAnsi="Arial" w:eastAsia="黑体"/>
      <w:kern w:val="2"/>
      <w:sz w:val="21"/>
    </w:rPr>
  </w:style>
  <w:style w:type="paragraph" w:customStyle="1" w:styleId="62">
    <w:name w:val="正文正"/>
    <w:basedOn w:val="1"/>
    <w:qFormat/>
    <w:uiPriority w:val="0"/>
    <w:pPr>
      <w:spacing w:line="560" w:lineRule="exact"/>
      <w:ind w:firstLine="561"/>
    </w:pPr>
    <w:rPr>
      <w:rFonts w:ascii="Times New Roman" w:hAnsi="Times New Roman" w:eastAsia="仿宋_GB2312" w:cs="Times New Roman"/>
      <w:sz w:val="28"/>
    </w:rPr>
  </w:style>
  <w:style w:type="character" w:customStyle="1" w:styleId="63">
    <w:name w:val="标题 2 字符"/>
    <w:link w:val="2"/>
    <w:qFormat/>
    <w:uiPriority w:val="0"/>
    <w:rPr>
      <w:rFonts w:ascii="Arial" w:hAnsi="Arial" w:eastAsia="Wingdings" w:cstheme="minorBidi"/>
      <w:b/>
      <w:bCs/>
      <w:kern w:val="2"/>
      <w:sz w:val="32"/>
      <w:szCs w:val="32"/>
    </w:rPr>
  </w:style>
  <w:style w:type="character" w:customStyle="1" w:styleId="64">
    <w:name w:val="标题 3 字符"/>
    <w:link w:val="4"/>
    <w:qFormat/>
    <w:uiPriority w:val="9"/>
    <w:rPr>
      <w:rFonts w:ascii="宋体" w:hAnsi="宋体"/>
      <w:b/>
      <w:bCs/>
      <w:sz w:val="27"/>
      <w:szCs w:val="27"/>
    </w:rPr>
  </w:style>
  <w:style w:type="character" w:customStyle="1" w:styleId="65">
    <w:name w:val="日期 字符"/>
    <w:basedOn w:val="33"/>
    <w:link w:val="20"/>
    <w:qFormat/>
    <w:uiPriority w:val="0"/>
    <w:rPr>
      <w:kern w:val="2"/>
      <w:sz w:val="28"/>
    </w:rPr>
  </w:style>
  <w:style w:type="character" w:customStyle="1" w:styleId="66">
    <w:name w:val="页脚 字符"/>
    <w:link w:val="22"/>
    <w:qFormat/>
    <w:uiPriority w:val="99"/>
    <w:rPr>
      <w:rFonts w:asciiTheme="minorHAnsi" w:hAnsiTheme="minorHAnsi" w:eastAsiaTheme="minorEastAsia" w:cstheme="minorBidi"/>
      <w:kern w:val="2"/>
      <w:sz w:val="18"/>
      <w:szCs w:val="24"/>
    </w:rPr>
  </w:style>
  <w:style w:type="character" w:customStyle="1" w:styleId="67">
    <w:name w:val="页眉 字符"/>
    <w:link w:val="23"/>
    <w:qFormat/>
    <w:uiPriority w:val="99"/>
    <w:rPr>
      <w:rFonts w:asciiTheme="minorHAnsi" w:hAnsiTheme="minorHAnsi" w:eastAsiaTheme="minorEastAsia" w:cstheme="minorBidi"/>
      <w:kern w:val="2"/>
      <w:sz w:val="18"/>
      <w:szCs w:val="24"/>
    </w:rPr>
  </w:style>
  <w:style w:type="paragraph" w:customStyle="1" w:styleId="68">
    <w:name w:val="Char1"/>
    <w:basedOn w:val="1"/>
    <w:qFormat/>
    <w:uiPriority w:val="0"/>
    <w:rPr>
      <w:rFonts w:ascii="Times New Roman" w:hAnsi="Times New Roman" w:eastAsia="宋体" w:cs="Times New Roman"/>
      <w:szCs w:val="20"/>
    </w:rPr>
  </w:style>
  <w:style w:type="paragraph" w:customStyle="1" w:styleId="69">
    <w:name w:val="Char Char Char"/>
    <w:basedOn w:val="1"/>
    <w:qFormat/>
    <w:uiPriority w:val="0"/>
    <w:rPr>
      <w:rFonts w:ascii="Wingdings" w:hAnsi="Wingdings" w:eastAsia="宋体" w:cs="Courier New"/>
      <w:sz w:val="24"/>
      <w:szCs w:val="20"/>
    </w:rPr>
  </w:style>
  <w:style w:type="paragraph" w:customStyle="1" w:styleId="70">
    <w:name w:val="Char2 Char Char Char Char Char Char Char Char Char Char Char Char"/>
    <w:basedOn w:val="1"/>
    <w:qFormat/>
    <w:uiPriority w:val="0"/>
    <w:pPr>
      <w:spacing w:line="360" w:lineRule="auto"/>
      <w:ind w:firstLine="200" w:firstLineChars="200"/>
    </w:pPr>
    <w:rPr>
      <w:rFonts w:ascii="Tahoma" w:hAnsi="Tahoma" w:eastAsia="宋体" w:cs="Times New Roman"/>
      <w:sz w:val="24"/>
    </w:rPr>
  </w:style>
  <w:style w:type="paragraph" w:customStyle="1" w:styleId="71">
    <w:name w:val="样式3"/>
    <w:basedOn w:val="19"/>
    <w:qFormat/>
    <w:uiPriority w:val="0"/>
    <w:pPr>
      <w:spacing w:line="0" w:lineRule="atLeast"/>
      <w:outlineLvl w:val="0"/>
    </w:pPr>
    <w:rPr>
      <w:rFonts w:eastAsia="宋体" w:cs="Times New Roman"/>
      <w:sz w:val="28"/>
    </w:rPr>
  </w:style>
  <w:style w:type="paragraph" w:customStyle="1" w:styleId="72">
    <w:name w:val="标3"/>
    <w:basedOn w:val="1"/>
    <w:qFormat/>
    <w:uiPriority w:val="0"/>
    <w:pPr>
      <w:numPr>
        <w:ilvl w:val="2"/>
        <w:numId w:val="3"/>
      </w:numPr>
      <w:tabs>
        <w:tab w:val="left" w:pos="425"/>
        <w:tab w:val="left" w:pos="1740"/>
      </w:tabs>
      <w:adjustRightInd w:val="0"/>
      <w:snapToGrid w:val="0"/>
      <w:spacing w:before="50"/>
      <w:outlineLvl w:val="2"/>
    </w:pPr>
    <w:rPr>
      <w:rFonts w:ascii="Arial Narrow" w:hAnsi="Arial Narrow" w:eastAsia="仿宋_GB2312" w:cs="Times New Roman"/>
      <w:sz w:val="28"/>
      <w:szCs w:val="20"/>
    </w:rPr>
  </w:style>
  <w:style w:type="paragraph" w:customStyle="1" w:styleId="73">
    <w:name w:val="Char Char Char Char Char Char1 Char"/>
    <w:basedOn w:val="1"/>
    <w:qFormat/>
    <w:uiPriority w:val="0"/>
    <w:rPr>
      <w:rFonts w:ascii="Tahoma" w:hAnsi="Tahoma" w:eastAsia="宋体" w:cs="Times New Roman"/>
      <w:sz w:val="24"/>
      <w:szCs w:val="20"/>
    </w:rPr>
  </w:style>
  <w:style w:type="paragraph" w:customStyle="1" w:styleId="74">
    <w:name w:val="普通(网站)1"/>
    <w:basedOn w:val="1"/>
    <w:qFormat/>
    <w:uiPriority w:val="0"/>
    <w:pPr>
      <w:widowControl/>
      <w:jc w:val="left"/>
    </w:pPr>
    <w:rPr>
      <w:rFonts w:ascii="宋体" w:hAnsi="宋体" w:eastAsia="宋体" w:cs="宋体"/>
      <w:kern w:val="0"/>
      <w:sz w:val="24"/>
    </w:rPr>
  </w:style>
  <w:style w:type="character" w:customStyle="1" w:styleId="75">
    <w:name w:val="未处理的提及1"/>
    <w:basedOn w:val="33"/>
    <w:semiHidden/>
    <w:unhideWhenUsed/>
    <w:qFormat/>
    <w:uiPriority w:val="99"/>
    <w:rPr>
      <w:color w:val="605E5C"/>
      <w:shd w:val="clear" w:color="auto" w:fill="E1DFDD"/>
    </w:rPr>
  </w:style>
  <w:style w:type="character" w:customStyle="1" w:styleId="76">
    <w:name w:val="Unresolved Mention"/>
    <w:basedOn w:val="33"/>
    <w:semiHidden/>
    <w:unhideWhenUsed/>
    <w:qFormat/>
    <w:uiPriority w:val="99"/>
    <w:rPr>
      <w:color w:val="605E5C"/>
      <w:shd w:val="clear" w:color="auto" w:fill="E1DFDD"/>
    </w:rPr>
  </w:style>
  <w:style w:type="character" w:customStyle="1" w:styleId="77">
    <w:name w:val="NormalCharacter"/>
    <w:semiHidden/>
    <w:qFormat/>
    <w:uiPriority w:val="0"/>
    <w:rPr>
      <w:kern w:val="2"/>
      <w:sz w:val="21"/>
      <w:szCs w:val="24"/>
      <w:lang w:val="en-US" w:eastAsia="zh-CN" w:bidi="ar-SA"/>
    </w:rPr>
  </w:style>
  <w:style w:type="paragraph" w:customStyle="1" w:styleId="78">
    <w:name w:val="正文段"/>
    <w:basedOn w:val="1"/>
    <w:qFormat/>
    <w:uiPriority w:val="99"/>
    <w:pPr>
      <w:spacing w:line="360" w:lineRule="auto"/>
      <w:ind w:firstLine="420"/>
    </w:pPr>
    <w:rPr>
      <w:rFonts w:ascii="宋体"/>
      <w:sz w:val="24"/>
    </w:rPr>
  </w:style>
  <w:style w:type="paragraph" w:customStyle="1" w:styleId="79">
    <w:name w:val="WPSOffice手动目录 1"/>
    <w:qFormat/>
    <w:uiPriority w:val="0"/>
    <w:pPr>
      <w:ind w:leftChars="0"/>
    </w:pPr>
    <w:rPr>
      <w:rFonts w:ascii="Times New Roman" w:hAnsi="Times New Roman" w:eastAsia="宋体" w:cs="Times New Roman"/>
      <w:sz w:val="20"/>
      <w:szCs w:val="20"/>
    </w:rPr>
  </w:style>
  <w:style w:type="paragraph" w:customStyle="1" w:styleId="80">
    <w:name w:val="WPSOffice手动目录 2"/>
    <w:qFormat/>
    <w:uiPriority w:val="0"/>
    <w:pPr>
      <w:ind w:leftChars="200"/>
    </w:pPr>
    <w:rPr>
      <w:rFonts w:ascii="Times New Roman" w:hAnsi="Times New Roman" w:eastAsia="宋体" w:cs="Times New Roman"/>
      <w:sz w:val="20"/>
      <w:szCs w:val="20"/>
    </w:rPr>
  </w:style>
  <w:style w:type="paragraph" w:customStyle="1" w:styleId="81">
    <w:name w:val="Table Text"/>
    <w:basedOn w:val="1"/>
    <w:semiHidden/>
    <w:qFormat/>
    <w:uiPriority w:val="0"/>
    <w:rPr>
      <w:rFonts w:ascii="宋体" w:hAnsi="宋体" w:eastAsia="宋体" w:cs="宋体"/>
      <w:sz w:val="24"/>
      <w:szCs w:val="24"/>
      <w:lang w:val="en-US" w:eastAsia="en-US" w:bidi="ar-SA"/>
    </w:rPr>
  </w:style>
  <w:style w:type="table" w:customStyle="1" w:styleId="8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73</Pages>
  <Words>5407</Words>
  <Characters>5855</Characters>
  <Lines>327</Lines>
  <Paragraphs>92</Paragraphs>
  <TotalTime>16</TotalTime>
  <ScaleCrop>false</ScaleCrop>
  <LinksUpToDate>false</LinksUpToDate>
  <CharactersWithSpaces>5962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2024-07-26T04:14:00Z</dcterms:created>
  <dc:creator>Administrator</dc:creator>
  <cp:lastModifiedBy>。</cp:lastModifiedBy>
  <cp:lastPrinted>2025-01-10T08:06:00Z</cp:lastPrinted>
  <dcterms:modified xsi:type="dcterms:W3CDTF">2026-03-30T07:02:52Z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6588A4BC7A07411EA8E2844CB907615E_13</vt:lpwstr>
  </property>
  <property fmtid="{D5CDD505-2E9C-101B-9397-08002B2CF9AE}" pid="4" name="KSOTemplateDocerSaveRecord">
    <vt:lpwstr>eyJoZGlkIjoiYTVmOWUxOTE5YjU0ZjQxNGNkYzZkN2Q1MWYxMGQ0YzYiLCJ1c2VySWQiOiI3MDc1MzQ0NzIifQ==</vt:lpwstr>
  </property>
</Properties>
</file>